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398D" w:rsidRDefault="00C305C0" w:rsidP="00CF398D">
      <w:pPr>
        <w:pStyle w:val="Heading1"/>
        <w:rPr>
          <w:lang w:val="en-US"/>
        </w:rPr>
      </w:pPr>
      <w:r>
        <w:rPr>
          <w:lang w:val="en-US"/>
        </w:rPr>
        <w:t xml:space="preserve">A </w:t>
      </w:r>
      <w:r w:rsidR="00706E98">
        <w:rPr>
          <w:lang w:val="en-US"/>
        </w:rPr>
        <w:t xml:space="preserve">value </w:t>
      </w:r>
      <w:r>
        <w:rPr>
          <w:lang w:val="en-US"/>
        </w:rPr>
        <w:t xml:space="preserve">based </w:t>
      </w:r>
      <w:r w:rsidR="00706E98">
        <w:rPr>
          <w:lang w:val="en-US"/>
        </w:rPr>
        <w:t xml:space="preserve">network approach for customer engagement improvement </w:t>
      </w:r>
    </w:p>
    <w:p w:rsidR="00CF398D" w:rsidRDefault="00706E98" w:rsidP="00CF398D">
      <w:pPr>
        <w:pStyle w:val="Authors"/>
        <w:spacing w:after="0"/>
      </w:pPr>
      <w:r w:rsidRPr="004819FA">
        <w:t>Đorđe Ćelić</w:t>
      </w:r>
      <w:r w:rsidR="00CF398D" w:rsidRPr="004819FA">
        <w:rPr>
          <w:rStyle w:val="FootnoteReference"/>
        </w:rPr>
        <w:footnoteReference w:id="2"/>
      </w:r>
      <w:r w:rsidR="00434A85">
        <w:t>Zoran Drašković</w:t>
      </w:r>
      <w:r w:rsidR="00CF398D" w:rsidRPr="004819FA">
        <w:rPr>
          <w:rStyle w:val="FootnoteReference"/>
        </w:rPr>
        <w:footnoteReference w:id="3"/>
      </w:r>
      <w:r w:rsidR="00434A85">
        <w:t>Zorica Uzelac</w:t>
      </w:r>
      <w:r w:rsidR="00CF398D" w:rsidRPr="004819FA">
        <w:rPr>
          <w:rStyle w:val="FootnoteReference"/>
        </w:rPr>
        <w:footnoteReference w:id="4"/>
      </w:r>
      <w:r w:rsidR="00131262" w:rsidRPr="004819FA">
        <w:t xml:space="preserve"> Viktorija </w:t>
      </w:r>
      <w:r w:rsidR="000626F2" w:rsidRPr="004819FA">
        <w:t>Petrov</w:t>
      </w:r>
      <w:r w:rsidR="00131262" w:rsidRPr="004819FA">
        <w:rPr>
          <w:rStyle w:val="FootnoteReference"/>
        </w:rPr>
        <w:footnoteReference w:id="5"/>
      </w:r>
      <w:bookmarkStart w:id="4" w:name="_GoBack"/>
      <w:bookmarkEnd w:id="4"/>
    </w:p>
    <w:p w:rsidR="00CF398D" w:rsidRPr="007A7D67" w:rsidRDefault="00CF398D" w:rsidP="00B86D47">
      <w:pPr>
        <w:pStyle w:val="Authors"/>
        <w:spacing w:before="120" w:after="0"/>
        <w:rPr>
          <w:i w:val="0"/>
        </w:rPr>
      </w:pPr>
    </w:p>
    <w:p w:rsidR="00AC693A" w:rsidRPr="003D5827" w:rsidRDefault="00016DFD" w:rsidP="00C25498">
      <w:pPr>
        <w:ind w:firstLine="0"/>
        <w:rPr>
          <w:sz w:val="20"/>
          <w:szCs w:val="20"/>
        </w:rPr>
      </w:pPr>
      <w:r w:rsidRPr="0051074B">
        <w:rPr>
          <w:b/>
          <w:sz w:val="20"/>
          <w:szCs w:val="20"/>
        </w:rPr>
        <w:t>Abstract</w:t>
      </w:r>
      <w:r w:rsidR="00AC693A" w:rsidRPr="0051074B">
        <w:rPr>
          <w:b/>
          <w:sz w:val="20"/>
          <w:szCs w:val="20"/>
        </w:rPr>
        <w:t>:</w:t>
      </w:r>
      <w:r w:rsidR="0051074B">
        <w:rPr>
          <w:b/>
        </w:rPr>
        <w:t xml:space="preserve"> </w:t>
      </w:r>
      <w:r w:rsidR="003D5827" w:rsidRPr="002B0050">
        <w:rPr>
          <w:sz w:val="20"/>
          <w:szCs w:val="20"/>
        </w:rPr>
        <w:t xml:space="preserve">Following a survey of the literature relevant </w:t>
      </w:r>
      <w:r w:rsidR="006F3086">
        <w:rPr>
          <w:sz w:val="20"/>
          <w:szCs w:val="20"/>
        </w:rPr>
        <w:t>to</w:t>
      </w:r>
      <w:r w:rsidR="003D5827" w:rsidRPr="002B0050">
        <w:rPr>
          <w:sz w:val="20"/>
          <w:szCs w:val="20"/>
        </w:rPr>
        <w:t xml:space="preserve"> the subject, th</w:t>
      </w:r>
      <w:r w:rsidR="006F3086">
        <w:rPr>
          <w:sz w:val="20"/>
          <w:szCs w:val="20"/>
        </w:rPr>
        <w:t>is</w:t>
      </w:r>
      <w:r w:rsidR="003D5827" w:rsidRPr="002B0050">
        <w:rPr>
          <w:sz w:val="20"/>
          <w:szCs w:val="20"/>
        </w:rPr>
        <w:t xml:space="preserve"> study describes </w:t>
      </w:r>
      <w:r w:rsidR="0051074B">
        <w:rPr>
          <w:sz w:val="20"/>
          <w:szCs w:val="20"/>
        </w:rPr>
        <w:t>a</w:t>
      </w:r>
      <w:r w:rsidR="003D5827" w:rsidRPr="002B0050">
        <w:rPr>
          <w:sz w:val="20"/>
          <w:szCs w:val="20"/>
        </w:rPr>
        <w:t xml:space="preserve"> new framework for modeling value </w:t>
      </w:r>
      <w:r w:rsidR="003D5827">
        <w:rPr>
          <w:sz w:val="20"/>
          <w:szCs w:val="20"/>
        </w:rPr>
        <w:t xml:space="preserve">based </w:t>
      </w:r>
      <w:r w:rsidR="003D5827" w:rsidRPr="002B0050">
        <w:rPr>
          <w:sz w:val="20"/>
          <w:szCs w:val="20"/>
        </w:rPr>
        <w:t xml:space="preserve">network of </w:t>
      </w:r>
      <w:r w:rsidR="003D5827">
        <w:rPr>
          <w:sz w:val="20"/>
          <w:szCs w:val="20"/>
        </w:rPr>
        <w:t>customer</w:t>
      </w:r>
      <w:r w:rsidR="006F3086">
        <w:rPr>
          <w:sz w:val="20"/>
          <w:szCs w:val="20"/>
        </w:rPr>
        <w:t>-</w:t>
      </w:r>
      <w:r w:rsidR="003D5827">
        <w:rPr>
          <w:sz w:val="20"/>
          <w:szCs w:val="20"/>
        </w:rPr>
        <w:t>organization</w:t>
      </w:r>
      <w:r w:rsidR="006F3086">
        <w:rPr>
          <w:sz w:val="20"/>
          <w:szCs w:val="20"/>
        </w:rPr>
        <w:t>-</w:t>
      </w:r>
      <w:r w:rsidR="003D5827">
        <w:rPr>
          <w:sz w:val="20"/>
          <w:szCs w:val="20"/>
        </w:rPr>
        <w:t xml:space="preserve">society </w:t>
      </w:r>
      <w:r w:rsidR="003D5827" w:rsidRPr="002B0050">
        <w:rPr>
          <w:sz w:val="20"/>
          <w:szCs w:val="20"/>
        </w:rPr>
        <w:t>interactions. The value</w:t>
      </w:r>
      <w:r w:rsidR="003D5827">
        <w:rPr>
          <w:sz w:val="20"/>
          <w:szCs w:val="20"/>
        </w:rPr>
        <w:t xml:space="preserve"> based </w:t>
      </w:r>
      <w:r w:rsidR="003D5827" w:rsidRPr="002B0050">
        <w:rPr>
          <w:sz w:val="20"/>
          <w:szCs w:val="20"/>
        </w:rPr>
        <w:t xml:space="preserve">network approach provides a deeper and more complete understanding of the nature of </w:t>
      </w:r>
      <w:r w:rsidR="003D5827">
        <w:rPr>
          <w:sz w:val="20"/>
          <w:szCs w:val="20"/>
        </w:rPr>
        <w:t>customer-organization</w:t>
      </w:r>
      <w:r w:rsidR="003D5827" w:rsidRPr="002B0050">
        <w:rPr>
          <w:sz w:val="20"/>
          <w:szCs w:val="20"/>
        </w:rPr>
        <w:t xml:space="preserve"> relationships</w:t>
      </w:r>
      <w:r w:rsidR="003D5827">
        <w:rPr>
          <w:sz w:val="20"/>
          <w:szCs w:val="20"/>
        </w:rPr>
        <w:t>,</w:t>
      </w:r>
      <w:r w:rsidR="003D5827" w:rsidRPr="002B0050">
        <w:rPr>
          <w:sz w:val="20"/>
          <w:szCs w:val="20"/>
        </w:rPr>
        <w:t xml:space="preserve"> and </w:t>
      </w:r>
      <w:r w:rsidR="003D5827">
        <w:rPr>
          <w:sz w:val="20"/>
          <w:szCs w:val="20"/>
        </w:rPr>
        <w:t>influencing factors of the dynamics of these</w:t>
      </w:r>
      <w:r w:rsidR="003D5827" w:rsidRPr="002B0050">
        <w:rPr>
          <w:sz w:val="20"/>
          <w:szCs w:val="20"/>
        </w:rPr>
        <w:t xml:space="preserve"> processes</w:t>
      </w:r>
      <w:r w:rsidR="003D5827">
        <w:rPr>
          <w:sz w:val="20"/>
          <w:szCs w:val="20"/>
        </w:rPr>
        <w:t xml:space="preserve">. Better understanding </w:t>
      </w:r>
      <w:r w:rsidR="006F3086">
        <w:rPr>
          <w:sz w:val="20"/>
          <w:szCs w:val="20"/>
        </w:rPr>
        <w:t xml:space="preserve">of </w:t>
      </w:r>
      <w:r w:rsidR="003D5827">
        <w:rPr>
          <w:sz w:val="20"/>
          <w:szCs w:val="20"/>
        </w:rPr>
        <w:t>customer</w:t>
      </w:r>
      <w:r w:rsidR="003D5827" w:rsidRPr="002B0050">
        <w:rPr>
          <w:sz w:val="20"/>
          <w:szCs w:val="20"/>
        </w:rPr>
        <w:t xml:space="preserve"> engagement may be developed and fostered among differing customer segments. A case example has been provi</w:t>
      </w:r>
      <w:r w:rsidR="006F3086">
        <w:rPr>
          <w:sz w:val="20"/>
          <w:szCs w:val="20"/>
        </w:rPr>
        <w:t>ded where this</w:t>
      </w:r>
      <w:r w:rsidR="003D5827">
        <w:rPr>
          <w:sz w:val="20"/>
          <w:szCs w:val="20"/>
        </w:rPr>
        <w:t xml:space="preserve"> concept is applied. In the presented case study we analyzed engagement of the students as customers of the education services provided by </w:t>
      </w:r>
      <w:r w:rsidR="0051074B">
        <w:rPr>
          <w:sz w:val="20"/>
          <w:szCs w:val="20"/>
        </w:rPr>
        <w:t xml:space="preserve">the </w:t>
      </w:r>
      <w:r w:rsidR="003D5827">
        <w:rPr>
          <w:sz w:val="20"/>
          <w:szCs w:val="20"/>
        </w:rPr>
        <w:t>Faculty of Technical sciences, University of Novi Sad, Serbia.</w:t>
      </w:r>
      <w:r w:rsidR="0051074B">
        <w:rPr>
          <w:sz w:val="20"/>
          <w:szCs w:val="20"/>
        </w:rPr>
        <w:t xml:space="preserve"> </w:t>
      </w:r>
      <w:r w:rsidR="003D5827" w:rsidRPr="002B0050">
        <w:rPr>
          <w:sz w:val="20"/>
          <w:szCs w:val="20"/>
        </w:rPr>
        <w:t>We p</w:t>
      </w:r>
      <w:r w:rsidR="006F3086">
        <w:rPr>
          <w:sz w:val="20"/>
          <w:szCs w:val="20"/>
        </w:rPr>
        <w:t>ropose a set of building block</w:t>
      </w:r>
      <w:r w:rsidR="003D5827" w:rsidRPr="002B0050">
        <w:rPr>
          <w:sz w:val="20"/>
          <w:szCs w:val="20"/>
        </w:rPr>
        <w:t xml:space="preserve"> elements </w:t>
      </w:r>
      <w:r w:rsidR="006F3086">
        <w:rPr>
          <w:sz w:val="20"/>
          <w:szCs w:val="20"/>
        </w:rPr>
        <w:t>that shape</w:t>
      </w:r>
      <w:r w:rsidR="003D5827" w:rsidRPr="002B0050">
        <w:rPr>
          <w:sz w:val="20"/>
          <w:szCs w:val="20"/>
        </w:rPr>
        <w:t xml:space="preserve"> </w:t>
      </w:r>
      <w:r w:rsidR="0051074B">
        <w:rPr>
          <w:sz w:val="20"/>
          <w:szCs w:val="20"/>
        </w:rPr>
        <w:t xml:space="preserve">the </w:t>
      </w:r>
      <w:r w:rsidR="003D5827" w:rsidRPr="002B0050">
        <w:rPr>
          <w:sz w:val="20"/>
          <w:szCs w:val="20"/>
        </w:rPr>
        <w:t xml:space="preserve">education process </w:t>
      </w:r>
      <w:r w:rsidR="003D5827">
        <w:rPr>
          <w:sz w:val="20"/>
          <w:szCs w:val="20"/>
        </w:rPr>
        <w:t xml:space="preserve">as </w:t>
      </w:r>
      <w:r w:rsidR="006F3086">
        <w:rPr>
          <w:sz w:val="20"/>
          <w:szCs w:val="20"/>
        </w:rPr>
        <w:t xml:space="preserve">a </w:t>
      </w:r>
      <w:r w:rsidR="003D5827">
        <w:rPr>
          <w:sz w:val="20"/>
          <w:szCs w:val="20"/>
        </w:rPr>
        <w:t xml:space="preserve">value based </w:t>
      </w:r>
      <w:r w:rsidR="003D5827" w:rsidRPr="002B0050">
        <w:rPr>
          <w:sz w:val="20"/>
          <w:szCs w:val="20"/>
        </w:rPr>
        <w:t>netw</w:t>
      </w:r>
      <w:r w:rsidR="006F3086">
        <w:rPr>
          <w:sz w:val="20"/>
          <w:szCs w:val="20"/>
        </w:rPr>
        <w:t>ork, and define</w:t>
      </w:r>
      <w:r w:rsidR="003D5827">
        <w:rPr>
          <w:sz w:val="20"/>
          <w:szCs w:val="20"/>
        </w:rPr>
        <w:t xml:space="preserve"> the </w:t>
      </w:r>
      <w:r w:rsidR="003D5827" w:rsidRPr="007A436D">
        <w:rPr>
          <w:sz w:val="20"/>
          <w:szCs w:val="20"/>
        </w:rPr>
        <w:t>most influencing</w:t>
      </w:r>
      <w:r w:rsidR="003D5827">
        <w:rPr>
          <w:sz w:val="20"/>
          <w:szCs w:val="20"/>
        </w:rPr>
        <w:t xml:space="preserve"> factors to student</w:t>
      </w:r>
      <w:r w:rsidR="003D5827" w:rsidRPr="002B0050">
        <w:rPr>
          <w:sz w:val="20"/>
          <w:szCs w:val="20"/>
        </w:rPr>
        <w:t xml:space="preserve"> engagement</w:t>
      </w:r>
      <w:r w:rsidR="00C305C0">
        <w:rPr>
          <w:sz w:val="20"/>
          <w:szCs w:val="20"/>
        </w:rPr>
        <w:t>.</w:t>
      </w:r>
    </w:p>
    <w:p w:rsidR="00AC693A" w:rsidRPr="00C305C0" w:rsidRDefault="00016DFD" w:rsidP="00C25498">
      <w:pPr>
        <w:ind w:firstLine="0"/>
        <w:rPr>
          <w:rFonts w:ascii="Arial" w:hAnsi="Arial" w:cs="Arial"/>
          <w:szCs w:val="24"/>
        </w:rPr>
      </w:pPr>
      <w:r w:rsidRPr="0051074B">
        <w:rPr>
          <w:b/>
          <w:sz w:val="20"/>
          <w:szCs w:val="20"/>
        </w:rPr>
        <w:t>Ke</w:t>
      </w:r>
      <w:r w:rsidR="00AC693A" w:rsidRPr="0051074B">
        <w:rPr>
          <w:b/>
          <w:sz w:val="20"/>
          <w:szCs w:val="20"/>
        </w:rPr>
        <w:t>y w</w:t>
      </w:r>
      <w:r w:rsidRPr="0051074B">
        <w:rPr>
          <w:b/>
          <w:sz w:val="20"/>
          <w:szCs w:val="20"/>
        </w:rPr>
        <w:t>ords</w:t>
      </w:r>
      <w:r w:rsidR="00AC693A" w:rsidRPr="0051074B">
        <w:rPr>
          <w:b/>
          <w:sz w:val="20"/>
          <w:szCs w:val="20"/>
        </w:rPr>
        <w:t>:</w:t>
      </w:r>
      <w:r w:rsidR="0051074B">
        <w:rPr>
          <w:sz w:val="20"/>
          <w:szCs w:val="20"/>
        </w:rPr>
        <w:t xml:space="preserve"> </w:t>
      </w:r>
      <w:r w:rsidR="00C305C0">
        <w:rPr>
          <w:sz w:val="20"/>
          <w:szCs w:val="20"/>
        </w:rPr>
        <w:t>knowledge economy, knowledge management,</w:t>
      </w:r>
      <w:r w:rsidR="0051074B">
        <w:rPr>
          <w:sz w:val="20"/>
          <w:szCs w:val="20"/>
        </w:rPr>
        <w:t xml:space="preserve"> </w:t>
      </w:r>
      <w:r w:rsidR="00C305C0">
        <w:rPr>
          <w:sz w:val="20"/>
          <w:szCs w:val="20"/>
        </w:rPr>
        <w:t>value based network, customer relations, i</w:t>
      </w:r>
      <w:r w:rsidR="00C305C0" w:rsidRPr="007A436D">
        <w:rPr>
          <w:sz w:val="20"/>
          <w:szCs w:val="20"/>
        </w:rPr>
        <w:t>ntellectual capital</w:t>
      </w:r>
    </w:p>
    <w:p w:rsidR="00FB0808" w:rsidRDefault="00B86D47" w:rsidP="00BD4BD5">
      <w:pPr>
        <w:pStyle w:val="Heading2"/>
      </w:pPr>
      <w:r>
        <w:rPr>
          <w:lang w:val="en-US"/>
        </w:rPr>
        <w:t>i</w:t>
      </w:r>
      <w:r w:rsidR="00DD1AFB">
        <w:rPr>
          <w:lang w:val="en-US"/>
        </w:rPr>
        <w:t xml:space="preserve">ntroduction </w:t>
      </w:r>
    </w:p>
    <w:p w:rsidR="00C80CA5" w:rsidRPr="004749B2" w:rsidRDefault="00C62127" w:rsidP="004749B2">
      <w:pPr>
        <w:autoSpaceDE w:val="0"/>
        <w:autoSpaceDN w:val="0"/>
        <w:adjustRightInd w:val="0"/>
        <w:rPr>
          <w:szCs w:val="24"/>
        </w:rPr>
      </w:pPr>
      <w:r w:rsidRPr="00FC5433">
        <w:rPr>
          <w:color w:val="000000"/>
          <w:szCs w:val="24"/>
        </w:rPr>
        <w:t>In today’s competitive business environment,</w:t>
      </w:r>
      <w:r w:rsidR="00D04FEF">
        <w:rPr>
          <w:color w:val="000000"/>
          <w:szCs w:val="24"/>
        </w:rPr>
        <w:t xml:space="preserve"> </w:t>
      </w:r>
      <w:r w:rsidRPr="00FC5433">
        <w:rPr>
          <w:szCs w:val="24"/>
        </w:rPr>
        <w:t>which has undergone enormous changes in recent years,</w:t>
      </w:r>
      <w:r w:rsidRPr="00FC5433">
        <w:rPr>
          <w:color w:val="000000"/>
          <w:szCs w:val="24"/>
        </w:rPr>
        <w:t xml:space="preserve"> knowledge management (KM) is increasingly recognized as a significant factor in gaining a competitive advantage</w:t>
      </w:r>
      <w:r w:rsidRPr="00FC5433">
        <w:rPr>
          <w:color w:val="000066"/>
          <w:szCs w:val="24"/>
        </w:rPr>
        <w:t xml:space="preserve">, </w:t>
      </w:r>
      <w:r w:rsidR="006F3086" w:rsidRPr="006F3086">
        <w:rPr>
          <w:szCs w:val="24"/>
        </w:rPr>
        <w:t>and</w:t>
      </w:r>
      <w:r w:rsidR="00D04FEF">
        <w:rPr>
          <w:szCs w:val="24"/>
        </w:rPr>
        <w:t xml:space="preserve"> </w:t>
      </w:r>
      <w:r w:rsidRPr="00FC5433">
        <w:rPr>
          <w:szCs w:val="24"/>
        </w:rPr>
        <w:t>one of the major driving forces of organizational change and value creation since the early 1990</w:t>
      </w:r>
      <w:r w:rsidRPr="00FC5433">
        <w:rPr>
          <w:color w:val="000000"/>
          <w:szCs w:val="24"/>
        </w:rPr>
        <w:t>.</w:t>
      </w:r>
      <w:r w:rsidR="00D04FEF">
        <w:rPr>
          <w:color w:val="000000"/>
          <w:szCs w:val="24"/>
        </w:rPr>
        <w:t xml:space="preserve"> </w:t>
      </w:r>
      <w:r w:rsidRPr="00FC5433">
        <w:rPr>
          <w:szCs w:val="24"/>
        </w:rPr>
        <w:t>While industries continue to upgrade from intensive data processing operations to knowledge-based businesses, the need to understand</w:t>
      </w:r>
      <w:r w:rsidR="00D04FEF">
        <w:rPr>
          <w:szCs w:val="24"/>
        </w:rPr>
        <w:t xml:space="preserve"> </w:t>
      </w:r>
      <w:r w:rsidRPr="00FC5433">
        <w:rPr>
          <w:szCs w:val="24"/>
        </w:rPr>
        <w:t>knowledge management will grow</w:t>
      </w:r>
      <w:r w:rsidR="00553D7D">
        <w:rPr>
          <w:szCs w:val="24"/>
        </w:rPr>
        <w:t xml:space="preserve"> [1],</w:t>
      </w:r>
      <w:r w:rsidR="00D04FEF">
        <w:rPr>
          <w:szCs w:val="24"/>
        </w:rPr>
        <w:t xml:space="preserve"> </w:t>
      </w:r>
      <w:r w:rsidR="00553D7D">
        <w:rPr>
          <w:szCs w:val="24"/>
        </w:rPr>
        <w:t>[2]</w:t>
      </w:r>
      <w:r w:rsidRPr="00FC5433">
        <w:rPr>
          <w:szCs w:val="24"/>
        </w:rPr>
        <w:t>.</w:t>
      </w:r>
      <w:r w:rsidR="00D04FEF">
        <w:rPr>
          <w:szCs w:val="24"/>
        </w:rPr>
        <w:t xml:space="preserve"> </w:t>
      </w:r>
      <w:r w:rsidR="00D04056" w:rsidRPr="00D04056">
        <w:rPr>
          <w:bCs/>
          <w:lang w:val="en-US"/>
        </w:rPr>
        <w:t xml:space="preserve">Knowledge, considered as a strategic resource, requires </w:t>
      </w:r>
      <w:r w:rsidR="00196FDF">
        <w:rPr>
          <w:bCs/>
          <w:lang w:val="en-US"/>
        </w:rPr>
        <w:t xml:space="preserve">that managers develop company’s competitive advantage </w:t>
      </w:r>
      <w:r w:rsidR="006F3086">
        <w:rPr>
          <w:bCs/>
          <w:lang w:val="en-US"/>
        </w:rPr>
        <w:t>[</w:t>
      </w:r>
      <w:r w:rsidR="00553D7D">
        <w:rPr>
          <w:bCs/>
          <w:lang w:val="en-US"/>
        </w:rPr>
        <w:t>3</w:t>
      </w:r>
      <w:r w:rsidR="00D04056">
        <w:rPr>
          <w:bCs/>
          <w:lang w:val="en-US"/>
        </w:rPr>
        <w:t>]</w:t>
      </w:r>
      <w:r w:rsidR="00D04056" w:rsidRPr="00D04056">
        <w:rPr>
          <w:bCs/>
          <w:lang w:val="en-US"/>
        </w:rPr>
        <w:t>.</w:t>
      </w:r>
    </w:p>
    <w:p w:rsidR="00EC4A05" w:rsidRPr="00EC4A05" w:rsidRDefault="00EC4A05" w:rsidP="00C80CA5">
      <w:pPr>
        <w:autoSpaceDE w:val="0"/>
        <w:autoSpaceDN w:val="0"/>
        <w:adjustRightInd w:val="0"/>
        <w:rPr>
          <w:szCs w:val="24"/>
          <w:lang w:val="en-US"/>
        </w:rPr>
      </w:pPr>
      <w:r w:rsidRPr="00EC4A05">
        <w:rPr>
          <w:rStyle w:val="longtext"/>
          <w:shd w:val="clear" w:color="auto" w:fill="FFFFFF"/>
        </w:rPr>
        <w:t xml:space="preserve">Knowledge-based firm theory suggests that knowledge is an organizational resource that enables sustainable competitive advantage in </w:t>
      </w:r>
      <w:r>
        <w:rPr>
          <w:rStyle w:val="longtext"/>
          <w:shd w:val="clear" w:color="auto" w:fill="FFFFFF"/>
        </w:rPr>
        <w:t>a hyper-competitive environment. It is</w:t>
      </w:r>
      <w:r w:rsidRPr="00EC4A05">
        <w:rPr>
          <w:rStyle w:val="longtext"/>
          <w:shd w:val="clear" w:color="auto" w:fill="FFFFFF"/>
        </w:rPr>
        <w:t xml:space="preserve"> a major driver of value creation and competitive advantage, a generator of critical invisible assets of modern organizations, </w:t>
      </w:r>
      <w:r>
        <w:rPr>
          <w:rStyle w:val="longtext"/>
          <w:shd w:val="clear" w:color="auto" w:fill="FFFFFF"/>
        </w:rPr>
        <w:t xml:space="preserve">and </w:t>
      </w:r>
      <w:r w:rsidRPr="00EC4A05">
        <w:rPr>
          <w:rStyle w:val="longtext"/>
          <w:shd w:val="clear" w:color="auto" w:fill="FFFFFF"/>
        </w:rPr>
        <w:t>intellectual capital of organizations.</w:t>
      </w:r>
    </w:p>
    <w:p w:rsidR="00E9789A" w:rsidRDefault="00C62127" w:rsidP="00E9789A">
      <w:pPr>
        <w:pStyle w:val="Heading2"/>
        <w:rPr>
          <w:lang w:val="en-US"/>
        </w:rPr>
      </w:pPr>
      <w:r>
        <w:rPr>
          <w:lang w:val="en-US"/>
        </w:rPr>
        <w:t>Knowledge economy</w:t>
      </w:r>
    </w:p>
    <w:p w:rsidR="006300D3" w:rsidRPr="006300D3" w:rsidRDefault="000C67B9" w:rsidP="00EC4AAE">
      <w:r w:rsidRPr="000C67B9">
        <w:t>Changes in the business environment impose changes in the concept, framework and rules according to which companies operate. World economy emerges from an economy that was predominantly based on industrial production and enters the knowledge economy. In the knowledge economy, the driver and the greatest value of the company is located in the competencies of employees, business processes, relationships with customers and suppliers</w:t>
      </w:r>
      <w:r w:rsidR="00D04FEF">
        <w:t>,</w:t>
      </w:r>
      <w:r w:rsidRPr="000C67B9">
        <w:t xml:space="preserve"> </w:t>
      </w:r>
      <w:r w:rsidR="00D04FEF">
        <w:t>etc</w:t>
      </w:r>
      <w:r w:rsidRPr="000C67B9">
        <w:t>.</w:t>
      </w:r>
    </w:p>
    <w:p w:rsidR="00C62127" w:rsidRDefault="00835CB1" w:rsidP="004749B2">
      <w:pPr>
        <w:tabs>
          <w:tab w:val="left" w:pos="284"/>
        </w:tabs>
        <w:ind w:firstLine="284"/>
        <w:rPr>
          <w:lang w:val="pl-PL"/>
        </w:rPr>
      </w:pPr>
      <w:r w:rsidRPr="00835CB1">
        <w:rPr>
          <w:rStyle w:val="longtext"/>
          <w:shd w:val="clear" w:color="auto" w:fill="FFFFFF"/>
        </w:rPr>
        <w:t>The emphasis on knowledge in organizations today is based on the assumption that removing barriers to knowledge transfer and replication has become a strategically important goal.</w:t>
      </w:r>
      <w:r w:rsidR="00D04FEF">
        <w:rPr>
          <w:rStyle w:val="longtext"/>
          <w:shd w:val="clear" w:color="auto" w:fill="FFFFFF"/>
        </w:rPr>
        <w:t xml:space="preserve"> </w:t>
      </w:r>
      <w:r w:rsidRPr="00835CB1">
        <w:rPr>
          <w:rStyle w:val="longtext"/>
          <w:shd w:val="clear" w:color="auto" w:fill="FFFFFF"/>
          <w:lang w:val="sr-Cyrl-CS"/>
        </w:rPr>
        <w:t>Organizations are forced to compete in the global knowledge and idea economy, where information and knowledge have no boundaries</w:t>
      </w:r>
      <w:r w:rsidR="00D04FEF">
        <w:rPr>
          <w:rStyle w:val="longtext"/>
          <w:shd w:val="clear" w:color="auto" w:fill="FFFFFF"/>
          <w:lang w:val="en-US"/>
        </w:rPr>
        <w:t xml:space="preserve">; </w:t>
      </w:r>
      <w:r w:rsidRPr="00835CB1">
        <w:rPr>
          <w:rStyle w:val="longtext"/>
          <w:shd w:val="clear" w:color="auto" w:fill="FFFFFF"/>
          <w:lang w:val="sr-Cyrl-CS"/>
        </w:rPr>
        <w:t>on the contrary, they multiply and grow at a feverish pace.</w:t>
      </w:r>
      <w:r w:rsidR="00D04FEF">
        <w:rPr>
          <w:rStyle w:val="longtext"/>
          <w:shd w:val="clear" w:color="auto" w:fill="FFFFFF"/>
          <w:lang w:val="en-US"/>
        </w:rPr>
        <w:t xml:space="preserve"> </w:t>
      </w:r>
      <w:r>
        <w:rPr>
          <w:lang w:val="pl-PL"/>
        </w:rPr>
        <w:t>Rapid</w:t>
      </w:r>
      <w:r w:rsidRPr="00835CB1">
        <w:rPr>
          <w:lang w:val="pl-PL"/>
        </w:rPr>
        <w:t xml:space="preserve"> development of information and telecommunication technology causes </w:t>
      </w:r>
      <w:r w:rsidRPr="00835CB1">
        <w:rPr>
          <w:lang w:val="pl-PL"/>
        </w:rPr>
        <w:lastRenderedPageBreak/>
        <w:t xml:space="preserve">an increase in the share of information and knowledge, both in production technologies and in products, which affects </w:t>
      </w:r>
      <w:r>
        <w:rPr>
          <w:lang w:val="pl-PL"/>
        </w:rPr>
        <w:t>our</w:t>
      </w:r>
      <w:r w:rsidRPr="00835CB1">
        <w:rPr>
          <w:lang w:val="pl-PL"/>
        </w:rPr>
        <w:t xml:space="preserve"> way of organizing and communicating.</w:t>
      </w:r>
      <w:r w:rsidR="00D04FEF">
        <w:rPr>
          <w:lang w:val="pl-PL"/>
        </w:rPr>
        <w:t xml:space="preserve"> </w:t>
      </w:r>
      <w:r>
        <w:rPr>
          <w:lang w:val="pl-PL"/>
        </w:rPr>
        <w:t>T</w:t>
      </w:r>
      <w:r w:rsidRPr="00835CB1">
        <w:rPr>
          <w:lang w:val="pl-PL"/>
        </w:rPr>
        <w:t xml:space="preserve">his increase in the share of knowledge in the newly </w:t>
      </w:r>
      <w:r>
        <w:rPr>
          <w:lang w:val="pl-PL"/>
        </w:rPr>
        <w:t>created</w:t>
      </w:r>
      <w:r w:rsidRPr="00835CB1">
        <w:rPr>
          <w:lang w:val="pl-PL"/>
        </w:rPr>
        <w:t xml:space="preserve"> value is the main feature of the transition from the industrial age to the knowledge economy, because information and knowledge are the key factors of business success: know-what, know-how, know-where, know-when</w:t>
      </w:r>
      <w:r w:rsidR="00C62127" w:rsidRPr="00962FB3">
        <w:rPr>
          <w:lang w:val="pl-PL"/>
        </w:rPr>
        <w:t>.</w:t>
      </w:r>
    </w:p>
    <w:p w:rsidR="00F86BC8" w:rsidRDefault="00323A22" w:rsidP="00652B4F">
      <w:pPr>
        <w:pStyle w:val="Heading2"/>
        <w:rPr>
          <w:lang w:val="en-US"/>
        </w:rPr>
      </w:pPr>
      <w:r>
        <w:rPr>
          <w:lang w:val="en-US"/>
        </w:rPr>
        <w:t xml:space="preserve">knowledge managemnt </w:t>
      </w:r>
      <w:r w:rsidR="00D04FEF">
        <w:rPr>
          <w:lang w:val="en-US"/>
        </w:rPr>
        <w:t>–</w:t>
      </w:r>
      <w:r>
        <w:rPr>
          <w:lang w:val="en-US"/>
        </w:rPr>
        <w:t xml:space="preserve"> </w:t>
      </w:r>
      <w:r w:rsidR="00652B4F">
        <w:rPr>
          <w:lang w:val="en-US"/>
        </w:rPr>
        <w:t>intellectual capital</w:t>
      </w:r>
    </w:p>
    <w:p w:rsidR="00323A22" w:rsidRDefault="00415FE0" w:rsidP="00AA4670">
      <w:pPr>
        <w:tabs>
          <w:tab w:val="left" w:pos="0"/>
        </w:tabs>
        <w:ind w:firstLine="426"/>
        <w:rPr>
          <w:szCs w:val="24"/>
          <w:lang w:val="ru-RU"/>
        </w:rPr>
      </w:pPr>
      <w:r w:rsidRPr="00415FE0">
        <w:rPr>
          <w:szCs w:val="24"/>
        </w:rPr>
        <w:t>At the end of the twentieth century, the difference between the market and book value of a company increased sharply. The most noticeable increase in the value of invisible ass</w:t>
      </w:r>
      <w:r>
        <w:rPr>
          <w:szCs w:val="24"/>
        </w:rPr>
        <w:t>ets was in the period 1992-2001</w:t>
      </w:r>
      <w:r w:rsidRPr="00415FE0">
        <w:rPr>
          <w:szCs w:val="24"/>
        </w:rPr>
        <w:t xml:space="preserve"> when the market value of </w:t>
      </w:r>
      <w:r>
        <w:rPr>
          <w:szCs w:val="24"/>
        </w:rPr>
        <w:t xml:space="preserve">public </w:t>
      </w:r>
      <w:r w:rsidRPr="00415FE0">
        <w:rPr>
          <w:szCs w:val="24"/>
        </w:rPr>
        <w:t>companies was on average seven times higher than the book value.</w:t>
      </w:r>
      <w:r w:rsidR="00D04FEF">
        <w:rPr>
          <w:szCs w:val="24"/>
        </w:rPr>
        <w:t xml:space="preserve"> </w:t>
      </w:r>
      <w:r w:rsidRPr="00415FE0">
        <w:rPr>
          <w:szCs w:val="24"/>
        </w:rPr>
        <w:t xml:space="preserve">This fact explains the growing interest of the scientific and professional public in measuring and managing intellectual capital, and theories </w:t>
      </w:r>
      <w:r>
        <w:rPr>
          <w:szCs w:val="24"/>
        </w:rPr>
        <w:t>are being developed</w:t>
      </w:r>
      <w:r w:rsidRPr="00415FE0">
        <w:rPr>
          <w:szCs w:val="24"/>
        </w:rPr>
        <w:t xml:space="preserve"> that explain the nature of intellectual capital.</w:t>
      </w:r>
      <w:r w:rsidR="00D04FEF">
        <w:rPr>
          <w:szCs w:val="24"/>
        </w:rPr>
        <w:t xml:space="preserve"> </w:t>
      </w:r>
      <w:r w:rsidRPr="00415FE0">
        <w:rPr>
          <w:szCs w:val="24"/>
        </w:rPr>
        <w:t xml:space="preserve">In the professional literature, the term intellectual capital is used as </w:t>
      </w:r>
      <w:r w:rsidR="00AA4670">
        <w:rPr>
          <w:szCs w:val="24"/>
        </w:rPr>
        <w:t xml:space="preserve">a synonym for intangible assets </w:t>
      </w:r>
      <w:r w:rsidRPr="00415FE0">
        <w:rPr>
          <w:szCs w:val="24"/>
        </w:rPr>
        <w:t xml:space="preserve">of an organization that significantly affects the success of business, but is not explicitly </w:t>
      </w:r>
      <w:r>
        <w:rPr>
          <w:szCs w:val="24"/>
        </w:rPr>
        <w:t>written in the company</w:t>
      </w:r>
      <w:r w:rsidR="00D04FEF">
        <w:rPr>
          <w:szCs w:val="24"/>
        </w:rPr>
        <w:t>’</w:t>
      </w:r>
      <w:r>
        <w:rPr>
          <w:szCs w:val="24"/>
        </w:rPr>
        <w:t>s balance sheet</w:t>
      </w:r>
      <w:r w:rsidRPr="00415FE0">
        <w:rPr>
          <w:szCs w:val="24"/>
        </w:rPr>
        <w:t>.</w:t>
      </w:r>
      <w:r w:rsidR="00D04FEF">
        <w:rPr>
          <w:szCs w:val="24"/>
        </w:rPr>
        <w:t xml:space="preserve"> </w:t>
      </w:r>
      <w:r w:rsidRPr="00415FE0">
        <w:rPr>
          <w:szCs w:val="24"/>
          <w:lang w:val="sr-Cyrl-CS"/>
        </w:rPr>
        <w:t>In recent years, a real expansion of works dealing with the topics of knowledge management in companies and the intangible dimension of the company, its intellectual capital</w:t>
      </w:r>
      <w:r w:rsidR="00D04FEF">
        <w:rPr>
          <w:szCs w:val="24"/>
          <w:lang w:val="en-US"/>
        </w:rPr>
        <w:t>,</w:t>
      </w:r>
      <w:r w:rsidRPr="00415FE0">
        <w:rPr>
          <w:szCs w:val="24"/>
          <w:lang w:val="sr-Cyrl-CS"/>
        </w:rPr>
        <w:t xml:space="preserve"> has been notic</w:t>
      </w:r>
      <w:r>
        <w:rPr>
          <w:szCs w:val="24"/>
          <w:lang w:val="sr-Cyrl-CS"/>
        </w:rPr>
        <w:t>ed in the management literature</w:t>
      </w:r>
      <w:r w:rsidR="00D04FEF">
        <w:rPr>
          <w:szCs w:val="24"/>
          <w:lang w:val="en-US"/>
        </w:rPr>
        <w:t xml:space="preserve"> </w:t>
      </w:r>
      <w:r w:rsidR="00553D7D">
        <w:rPr>
          <w:szCs w:val="24"/>
          <w:lang w:val="en-US"/>
        </w:rPr>
        <w:t>[4</w:t>
      </w:r>
      <w:r w:rsidR="00343E8D">
        <w:rPr>
          <w:szCs w:val="24"/>
          <w:lang w:val="en-US"/>
        </w:rPr>
        <w:t>]</w:t>
      </w:r>
      <w:r w:rsidR="004413F9">
        <w:rPr>
          <w:szCs w:val="24"/>
          <w:lang w:val="en-US"/>
        </w:rPr>
        <w:t>.</w:t>
      </w:r>
      <w:r w:rsidR="00D04FEF">
        <w:rPr>
          <w:szCs w:val="24"/>
          <w:lang w:val="en-US"/>
        </w:rPr>
        <w:t xml:space="preserve"> </w:t>
      </w:r>
      <w:r w:rsidRPr="00415FE0">
        <w:rPr>
          <w:szCs w:val="24"/>
          <w:lang w:val="sr-Cyrl-CS"/>
        </w:rPr>
        <w:t xml:space="preserve">It is believed that the success of a company depends on its ability to create, use and develop its knowledge-based resources </w:t>
      </w:r>
      <w:r w:rsidR="00615059">
        <w:rPr>
          <w:szCs w:val="24"/>
          <w:lang w:val="en-US"/>
        </w:rPr>
        <w:t>[5</w:t>
      </w:r>
      <w:r w:rsidR="00AA4670">
        <w:rPr>
          <w:szCs w:val="24"/>
          <w:lang w:val="en-US"/>
        </w:rPr>
        <w:t>]-</w:t>
      </w:r>
      <w:r w:rsidR="00615059">
        <w:rPr>
          <w:szCs w:val="24"/>
          <w:lang w:val="en-US"/>
        </w:rPr>
        <w:t>[7</w:t>
      </w:r>
      <w:r w:rsidR="00A33773">
        <w:rPr>
          <w:szCs w:val="24"/>
          <w:lang w:val="en-US"/>
        </w:rPr>
        <w:t>]</w:t>
      </w:r>
      <w:r w:rsidR="006300D3" w:rsidRPr="006300D3">
        <w:rPr>
          <w:szCs w:val="24"/>
          <w:lang w:val="ru-RU"/>
        </w:rPr>
        <w:t>.</w:t>
      </w:r>
    </w:p>
    <w:p w:rsidR="00081DAB" w:rsidRDefault="00D04FEF" w:rsidP="00AA4670">
      <w:pPr>
        <w:tabs>
          <w:tab w:val="left" w:pos="0"/>
        </w:tabs>
        <w:ind w:firstLine="567"/>
        <w:rPr>
          <w:sz w:val="20"/>
          <w:szCs w:val="20"/>
        </w:rPr>
      </w:pPr>
      <w:r>
        <w:t>“</w:t>
      </w:r>
      <w:r w:rsidR="00AB6467" w:rsidRPr="00AB6467">
        <w:rPr>
          <w:rFonts w:cs="Calibri"/>
        </w:rPr>
        <w:t xml:space="preserve">Knowledge management is the acquisition and use of resources in order to create an environment in which information is available to individuals and in which individuals collect, share and use information in order to develop their own knowledge. The environment should be such as to encourage and enable the use of knowledge for the benefit </w:t>
      </w:r>
      <w:r w:rsidR="00AB6467">
        <w:rPr>
          <w:rFonts w:cs="Calibri"/>
        </w:rPr>
        <w:t>of the organization as a whole.</w:t>
      </w:r>
      <w:r>
        <w:t>”</w:t>
      </w:r>
      <w:r w:rsidR="00615059">
        <w:rPr>
          <w:rFonts w:cs="Calibri"/>
        </w:rPr>
        <w:t>[6</w:t>
      </w:r>
      <w:r w:rsidR="00AB6467">
        <w:rPr>
          <w:rFonts w:cs="Calibri"/>
        </w:rPr>
        <w:t>]</w:t>
      </w:r>
    </w:p>
    <w:p w:rsidR="00323A22" w:rsidRPr="00323A22" w:rsidRDefault="00AB6467" w:rsidP="004749B2">
      <w:pPr>
        <w:tabs>
          <w:tab w:val="left" w:pos="426"/>
        </w:tabs>
        <w:ind w:firstLine="426"/>
        <w:rPr>
          <w:rStyle w:val="longtext"/>
          <w:szCs w:val="24"/>
          <w:shd w:val="clear" w:color="auto" w:fill="FFFFFF"/>
          <w:lang w:val="sr-Cyrl-CS"/>
        </w:rPr>
      </w:pPr>
      <w:r w:rsidRPr="00AB6467">
        <w:rPr>
          <w:rStyle w:val="longtext"/>
          <w:szCs w:val="24"/>
          <w:shd w:val="clear" w:color="auto" w:fill="FFFFFF"/>
          <w:lang w:val="ru-RU"/>
        </w:rPr>
        <w:t>Although intellectual capital and knowledge management are obviously not the same thing, they are considered to be two very related concepts, two br</w:t>
      </w:r>
      <w:r>
        <w:rPr>
          <w:rStyle w:val="longtext"/>
          <w:szCs w:val="24"/>
          <w:shd w:val="clear" w:color="auto" w:fill="FFFFFF"/>
          <w:lang w:val="ru-RU"/>
        </w:rPr>
        <w:t>anches of the same tree. Namely</w:t>
      </w:r>
      <w:r w:rsidR="00323A22" w:rsidRPr="00323A22">
        <w:rPr>
          <w:rStyle w:val="longtext"/>
          <w:szCs w:val="24"/>
          <w:shd w:val="clear" w:color="auto" w:fill="FFFFFF"/>
        </w:rPr>
        <w:t>:</w:t>
      </w:r>
    </w:p>
    <w:p w:rsidR="00323A22" w:rsidRPr="00305828" w:rsidRDefault="00D04FEF" w:rsidP="00305828">
      <w:pPr>
        <w:numPr>
          <w:ilvl w:val="0"/>
          <w:numId w:val="15"/>
        </w:numPr>
        <w:tabs>
          <w:tab w:val="left" w:pos="357"/>
        </w:tabs>
        <w:ind w:left="357" w:firstLine="69"/>
        <w:rPr>
          <w:rStyle w:val="longtext"/>
        </w:rPr>
      </w:pPr>
      <w:r>
        <w:rPr>
          <w:rStyle w:val="longtext"/>
          <w:szCs w:val="24"/>
          <w:shd w:val="clear" w:color="auto" w:fill="FFFFFF"/>
          <w:lang w:val="en-US"/>
        </w:rPr>
        <w:t>I</w:t>
      </w:r>
      <w:r w:rsidR="00305828" w:rsidRPr="00305828">
        <w:rPr>
          <w:rStyle w:val="longtext"/>
          <w:szCs w:val="24"/>
          <w:shd w:val="clear" w:color="auto" w:fill="FFFFFF"/>
          <w:lang w:val="sr-Cyrl-CS"/>
        </w:rPr>
        <w:t>ntellectual capital is considered a stock (static dimension), and knowledge management is the flow (dynamic dimension) which increases the value of intellectual capital</w:t>
      </w:r>
      <w:r>
        <w:rPr>
          <w:rStyle w:val="longtext"/>
          <w:szCs w:val="24"/>
          <w:shd w:val="clear" w:color="auto" w:fill="FFFFFF"/>
          <w:lang w:val="en-US"/>
        </w:rPr>
        <w:t>;</w:t>
      </w:r>
    </w:p>
    <w:p w:rsidR="00323A22" w:rsidRPr="00323A22" w:rsidRDefault="00D04FEF" w:rsidP="00305828">
      <w:pPr>
        <w:numPr>
          <w:ilvl w:val="0"/>
          <w:numId w:val="15"/>
        </w:numPr>
        <w:tabs>
          <w:tab w:val="left" w:pos="357"/>
        </w:tabs>
        <w:ind w:left="357" w:firstLine="69"/>
        <w:rPr>
          <w:rStyle w:val="longtext"/>
          <w:szCs w:val="24"/>
          <w:shd w:val="clear" w:color="auto" w:fill="FFFFFF"/>
          <w:lang w:val="sr-Cyrl-CS"/>
        </w:rPr>
      </w:pPr>
      <w:r>
        <w:rPr>
          <w:rStyle w:val="longtext"/>
          <w:szCs w:val="24"/>
          <w:shd w:val="clear" w:color="auto" w:fill="FFFFFF"/>
          <w:lang w:val="en-US"/>
        </w:rPr>
        <w:t>K</w:t>
      </w:r>
      <w:r w:rsidR="00305828" w:rsidRPr="00305828">
        <w:rPr>
          <w:rStyle w:val="longtext"/>
          <w:szCs w:val="24"/>
          <w:shd w:val="clear" w:color="auto" w:fill="FFFFFF"/>
          <w:lang w:val="sr-Cyrl-CS"/>
        </w:rPr>
        <w:t xml:space="preserve">nowledge management is a consequence of the fact that intellectual capital exists, ie. the need to manage what the company owns. </w:t>
      </w:r>
      <w:r>
        <w:rPr>
          <w:rStyle w:val="longtext"/>
          <w:szCs w:val="24"/>
          <w:shd w:val="clear" w:color="auto" w:fill="FFFFFF"/>
          <w:lang w:val="sr-Cyrl-CS"/>
        </w:rPr>
        <w:t>“</w:t>
      </w:r>
      <w:r w:rsidR="00305828" w:rsidRPr="00305828">
        <w:rPr>
          <w:rStyle w:val="longtext"/>
          <w:szCs w:val="24"/>
          <w:shd w:val="clear" w:color="auto" w:fill="FFFFFF"/>
          <w:lang w:val="sr-Cyrl-CS"/>
        </w:rPr>
        <w:t>Knowledge worker</w:t>
      </w:r>
      <w:r>
        <w:rPr>
          <w:rStyle w:val="longtext"/>
          <w:szCs w:val="24"/>
          <w:shd w:val="clear" w:color="auto" w:fill="FFFFFF"/>
          <w:lang w:val="sr-Cyrl-CS"/>
        </w:rPr>
        <w:t>”</w:t>
      </w:r>
      <w:r w:rsidR="00305828" w:rsidRPr="00305828">
        <w:rPr>
          <w:rStyle w:val="longtext"/>
          <w:szCs w:val="24"/>
          <w:shd w:val="clear" w:color="auto" w:fill="FFFFFF"/>
          <w:lang w:val="sr-Cyrl-CS"/>
        </w:rPr>
        <w:t xml:space="preserve">, or </w:t>
      </w:r>
      <w:r>
        <w:rPr>
          <w:rStyle w:val="longtext"/>
          <w:szCs w:val="24"/>
          <w:shd w:val="clear" w:color="auto" w:fill="FFFFFF"/>
          <w:lang w:val="sr-Cyrl-CS"/>
        </w:rPr>
        <w:t>“</w:t>
      </w:r>
      <w:r w:rsidR="00305828" w:rsidRPr="00305828">
        <w:rPr>
          <w:rStyle w:val="longtext"/>
          <w:szCs w:val="24"/>
          <w:shd w:val="clear" w:color="auto" w:fill="FFFFFF"/>
          <w:lang w:val="sr-Cyrl-CS"/>
        </w:rPr>
        <w:t>knowledge organizations</w:t>
      </w:r>
      <w:r>
        <w:rPr>
          <w:rStyle w:val="longtext"/>
          <w:szCs w:val="24"/>
          <w:shd w:val="clear" w:color="auto" w:fill="FFFFFF"/>
          <w:lang w:val="sr-Cyrl-CS"/>
        </w:rPr>
        <w:t>”</w:t>
      </w:r>
      <w:r w:rsidR="00305828" w:rsidRPr="00305828">
        <w:rPr>
          <w:rStyle w:val="longtext"/>
          <w:szCs w:val="24"/>
          <w:shd w:val="clear" w:color="auto" w:fill="FFFFFF"/>
          <w:lang w:val="sr-Cyrl-CS"/>
        </w:rPr>
        <w:t xml:space="preserve"> have the role of intellectual processors because </w:t>
      </w:r>
      <w:r>
        <w:rPr>
          <w:rStyle w:val="longtext"/>
          <w:szCs w:val="24"/>
          <w:shd w:val="clear" w:color="auto" w:fill="FFFFFF"/>
          <w:lang w:val="en-US"/>
        </w:rPr>
        <w:t xml:space="preserve">the </w:t>
      </w:r>
      <w:r w:rsidR="00305828" w:rsidRPr="00305828">
        <w:rPr>
          <w:rStyle w:val="longtext"/>
          <w:szCs w:val="24"/>
          <w:shd w:val="clear" w:color="auto" w:fill="FFFFFF"/>
          <w:lang w:val="sr-Cyrl-CS"/>
        </w:rPr>
        <w:t>man is the</w:t>
      </w:r>
      <w:r w:rsidR="00AA4670">
        <w:rPr>
          <w:rStyle w:val="longtext"/>
          <w:szCs w:val="24"/>
          <w:shd w:val="clear" w:color="auto" w:fill="FFFFFF"/>
          <w:lang w:val="sr-Cyrl-CS"/>
        </w:rPr>
        <w:t xml:space="preserve"> only active agent of knowledge</w:t>
      </w:r>
      <w:r w:rsidR="00305828" w:rsidRPr="00305828">
        <w:rPr>
          <w:rStyle w:val="longtext"/>
          <w:szCs w:val="24"/>
          <w:shd w:val="clear" w:color="auto" w:fill="FFFFFF"/>
          <w:lang w:val="sr-Cyrl-CS"/>
        </w:rPr>
        <w:t>.</w:t>
      </w:r>
    </w:p>
    <w:p w:rsidR="00E4211C" w:rsidRPr="0010734D" w:rsidRDefault="00305828" w:rsidP="0010734D">
      <w:pPr>
        <w:rPr>
          <w:rStyle w:val="longtext"/>
          <w:szCs w:val="24"/>
          <w:shd w:val="clear" w:color="auto" w:fill="FFFFFF"/>
          <w:lang w:val="en-US"/>
        </w:rPr>
      </w:pPr>
      <w:r w:rsidRPr="00305828">
        <w:rPr>
          <w:rStyle w:val="longtext"/>
          <w:szCs w:val="24"/>
          <w:shd w:val="clear" w:color="auto" w:fill="FFFFFF"/>
          <w:lang w:val="sr-Cyrl-CS"/>
        </w:rPr>
        <w:t xml:space="preserve">Due to these characteristics, it is impossible to separate these two concepts, and they are analyzed together in the academic and professional public. In the contemporary literature dealing with the management of intellectual capital, the concepts of </w:t>
      </w:r>
      <w:r w:rsidR="00D04FEF">
        <w:rPr>
          <w:rStyle w:val="longtext"/>
          <w:szCs w:val="24"/>
          <w:shd w:val="clear" w:color="auto" w:fill="FFFFFF"/>
          <w:lang w:val="en-US"/>
        </w:rPr>
        <w:t xml:space="preserve"> </w:t>
      </w:r>
      <w:r w:rsidR="00D04FEF">
        <w:rPr>
          <w:rStyle w:val="longtext"/>
          <w:szCs w:val="24"/>
          <w:shd w:val="clear" w:color="auto" w:fill="FFFFFF"/>
          <w:lang w:val="sr-Cyrl-CS"/>
        </w:rPr>
        <w:t>“</w:t>
      </w:r>
      <w:r w:rsidRPr="00305828">
        <w:rPr>
          <w:rStyle w:val="longtext"/>
          <w:szCs w:val="24"/>
          <w:shd w:val="clear" w:color="auto" w:fill="FFFFFF"/>
          <w:lang w:val="sr-Cyrl-CS"/>
        </w:rPr>
        <w:t>intellectual capital</w:t>
      </w:r>
      <w:r w:rsidR="00D04FEF">
        <w:rPr>
          <w:rStyle w:val="longtext"/>
          <w:szCs w:val="24"/>
          <w:shd w:val="clear" w:color="auto" w:fill="FFFFFF"/>
          <w:lang w:val="sr-Cyrl-CS"/>
        </w:rPr>
        <w:t>”</w:t>
      </w:r>
      <w:r w:rsidRPr="00305828">
        <w:rPr>
          <w:rStyle w:val="longtext"/>
          <w:szCs w:val="24"/>
          <w:shd w:val="clear" w:color="auto" w:fill="FFFFFF"/>
          <w:lang w:val="sr-Cyrl-CS"/>
        </w:rPr>
        <w:t xml:space="preserve"> and </w:t>
      </w:r>
      <w:r w:rsidR="00D04FEF">
        <w:rPr>
          <w:rStyle w:val="longtext"/>
          <w:szCs w:val="24"/>
          <w:shd w:val="clear" w:color="auto" w:fill="FFFFFF"/>
          <w:lang w:val="sr-Cyrl-CS"/>
        </w:rPr>
        <w:t>“</w:t>
      </w:r>
      <w:r w:rsidRPr="00305828">
        <w:rPr>
          <w:rStyle w:val="longtext"/>
          <w:szCs w:val="24"/>
          <w:shd w:val="clear" w:color="auto" w:fill="FFFFFF"/>
          <w:lang w:val="sr-Cyrl-CS"/>
        </w:rPr>
        <w:t>intangible assets</w:t>
      </w:r>
      <w:r w:rsidR="00D04FEF">
        <w:rPr>
          <w:rStyle w:val="longtext"/>
          <w:szCs w:val="24"/>
          <w:shd w:val="clear" w:color="auto" w:fill="FFFFFF"/>
          <w:lang w:val="sr-Cyrl-CS"/>
        </w:rPr>
        <w:t>”</w:t>
      </w:r>
      <w:r w:rsidRPr="00305828">
        <w:rPr>
          <w:rStyle w:val="longtext"/>
          <w:szCs w:val="24"/>
          <w:shd w:val="clear" w:color="auto" w:fill="FFFFFF"/>
          <w:lang w:val="sr-Cyrl-CS"/>
        </w:rPr>
        <w:t xml:space="preserve"> are considered synonyms and the division of intellectual capital into three families is accepted.</w:t>
      </w:r>
      <w:r w:rsidR="003F3806">
        <w:rPr>
          <w:rStyle w:val="longtext"/>
          <w:szCs w:val="24"/>
          <w:shd w:val="clear" w:color="auto" w:fill="FFFFFF"/>
          <w:lang w:val="sr-Cyrl-CS"/>
        </w:rPr>
        <w:t xml:space="preserve"> According to the authors [8]-</w:t>
      </w:r>
      <w:r w:rsidRPr="00305828">
        <w:rPr>
          <w:rStyle w:val="longtext"/>
          <w:szCs w:val="24"/>
          <w:shd w:val="clear" w:color="auto" w:fill="FFFFFF"/>
          <w:lang w:val="sr-Cyrl-CS"/>
        </w:rPr>
        <w:t>[11] the family of human capital (employee competencies), the family of relational or external structure capital (company image, customer relations, as well as other external relations), and the family of organizational or internal structure capital (internal processes and company management). There are a plantiful studies highlighting knowledge management in developed economies and large organizations, but there is lacking of such studies in transitional economies and small organizations. The results published in [12] contribute to reducing the gap that exists in the literature.</w:t>
      </w:r>
    </w:p>
    <w:p w:rsidR="00D72381" w:rsidRDefault="00D72381" w:rsidP="00D72381">
      <w:pPr>
        <w:pStyle w:val="Heading2"/>
        <w:rPr>
          <w:lang w:val="en-US"/>
        </w:rPr>
      </w:pPr>
      <w:r>
        <w:rPr>
          <w:lang w:val="en-US"/>
        </w:rPr>
        <w:lastRenderedPageBreak/>
        <w:t xml:space="preserve">value based networks </w:t>
      </w:r>
    </w:p>
    <w:p w:rsidR="00D72381" w:rsidRPr="00686FAC" w:rsidRDefault="003F3806" w:rsidP="00686FAC">
      <w:pPr>
        <w:rPr>
          <w:rFonts w:cs="Calibri"/>
        </w:rPr>
      </w:pPr>
      <w:r w:rsidRPr="003F3806">
        <w:rPr>
          <w:rFonts w:cs="Calibri"/>
        </w:rPr>
        <w:t xml:space="preserve">New business conditions, a new economy, impose the need to expand our view of </w:t>
      </w:r>
      <w:r w:rsidR="002B540E">
        <w:t>‘</w:t>
      </w:r>
      <w:r w:rsidRPr="003F3806">
        <w:rPr>
          <w:rFonts w:cs="Calibri"/>
        </w:rPr>
        <w:t>organization</w:t>
      </w:r>
      <w:r w:rsidR="002B540E">
        <w:t>’</w:t>
      </w:r>
      <w:r w:rsidRPr="003F3806">
        <w:rPr>
          <w:rFonts w:cs="Calibri"/>
        </w:rPr>
        <w:t xml:space="preserve"> through an understanding of the dynamic system of value networks of which it is a part. Intangible and tangible balance sheets can and must be linked into an integrated business picture. It is necessary to develop rigorous analytical methods and concepts that will look at entire networks of relationships that generate economic value through complex dynamic exchanges between indivi</w:t>
      </w:r>
      <w:r>
        <w:rPr>
          <w:rFonts w:cs="Calibri"/>
        </w:rPr>
        <w:t>duals, groups, or organizations</w:t>
      </w:r>
      <w:r w:rsidR="00686FAC">
        <w:rPr>
          <w:rFonts w:cs="Calibri"/>
          <w:lang w:val="en-US"/>
        </w:rPr>
        <w:t>.</w:t>
      </w:r>
    </w:p>
    <w:p w:rsidR="00D72381" w:rsidRPr="00C80CA5" w:rsidRDefault="003F3806" w:rsidP="00C80CA5">
      <w:pPr>
        <w:rPr>
          <w:rFonts w:cs="Calibri"/>
        </w:rPr>
      </w:pPr>
      <w:r w:rsidRPr="003F3806">
        <w:rPr>
          <w:rFonts w:cs="Calibri"/>
        </w:rPr>
        <w:t>The world around us consists of tangible resources (oil, factories, money</w:t>
      </w:r>
      <w:r w:rsidR="002B540E">
        <w:rPr>
          <w:rFonts w:cs="Calibri"/>
        </w:rPr>
        <w:t>, etc</w:t>
      </w:r>
      <w:r w:rsidRPr="003F3806">
        <w:rPr>
          <w:rFonts w:cs="Calibri"/>
        </w:rPr>
        <w:t>.) but also of intangible resources like energy and information. Since in the knowledge economy intangible resources are more valuable than tangible resources, we need to create a new approach as well as methodologies to be able to understand and influence both tangible and intangible resources and processes. The analysis of value networks is precisely this new way of perceiving the position and relationships of the organization with its environment in the new economic reality. The concept of value networks, and the analysis of flows through the value network developed by the organization, will allow us to see a comprehensive exchange of both</w:t>
      </w:r>
      <w:r w:rsidR="001B26FA">
        <w:rPr>
          <w:rFonts w:cs="Calibri"/>
        </w:rPr>
        <w:t xml:space="preserve"> tangible and intangible values</w:t>
      </w:r>
      <w:r w:rsidR="003F52C7">
        <w:rPr>
          <w:rFonts w:cs="Calibri"/>
        </w:rPr>
        <w:t xml:space="preserve"> [13],</w:t>
      </w:r>
      <w:r w:rsidR="002D37FC">
        <w:rPr>
          <w:rFonts w:cs="Calibri"/>
          <w:lang w:val="sr-Cyrl-CS"/>
        </w:rPr>
        <w:t xml:space="preserve"> </w:t>
      </w:r>
      <w:r w:rsidR="003F52C7">
        <w:rPr>
          <w:rFonts w:cs="Calibri"/>
        </w:rPr>
        <w:t>[14</w:t>
      </w:r>
      <w:r w:rsidR="001C232B">
        <w:rPr>
          <w:rFonts w:cs="Calibri"/>
        </w:rPr>
        <w:t>]</w:t>
      </w:r>
      <w:r w:rsidR="00D72381">
        <w:rPr>
          <w:rFonts w:cs="Calibri"/>
        </w:rPr>
        <w:t xml:space="preserve">. </w:t>
      </w:r>
    </w:p>
    <w:p w:rsidR="006B22AB" w:rsidRDefault="001B26FA" w:rsidP="004161B2">
      <w:pPr>
        <w:ind w:firstLine="426"/>
        <w:rPr>
          <w:rFonts w:cs="Calibri"/>
        </w:rPr>
      </w:pPr>
      <w:r w:rsidRPr="001B26FA">
        <w:rPr>
          <w:rFonts w:cs="Calibri"/>
        </w:rPr>
        <w:t xml:space="preserve">Verna Allee [12] has developed a value network analysis, a complete mapping system and process analysis in order to understand the creation of tangible and intangible value among participants in the system. </w:t>
      </w:r>
      <w:r w:rsidR="002B540E">
        <w:rPr>
          <w:rFonts w:cs="Calibri"/>
        </w:rPr>
        <w:t>The v</w:t>
      </w:r>
      <w:r w:rsidRPr="001B26FA">
        <w:rPr>
          <w:rFonts w:cs="Calibri"/>
        </w:rPr>
        <w:t>alue network analysis provides a standard way to define, map, and analyze participants, transactions, and tangible and intangible variables that together form a value network</w:t>
      </w:r>
      <w:r w:rsidR="00D72381">
        <w:rPr>
          <w:rFonts w:cs="Calibri"/>
        </w:rPr>
        <w:t xml:space="preserve">. </w:t>
      </w:r>
      <w:r w:rsidR="002B540E">
        <w:rPr>
          <w:rFonts w:cs="Calibri"/>
        </w:rPr>
        <w:t>The v</w:t>
      </w:r>
      <w:r w:rsidRPr="001B26FA">
        <w:rPr>
          <w:rFonts w:cs="Calibri"/>
        </w:rPr>
        <w:t xml:space="preserve">alue network analysis can lead to a complete change in the perception of the problems facing the organization, as well as mobilize the joint action of all participants in the value network in </w:t>
      </w:r>
      <w:r w:rsidR="001A6AD9">
        <w:rPr>
          <w:rFonts w:cs="Calibri"/>
        </w:rPr>
        <w:t>order to implement the change [12]</w:t>
      </w:r>
      <w:r w:rsidRPr="001B26FA">
        <w:rPr>
          <w:rFonts w:cs="Calibri"/>
        </w:rPr>
        <w:t xml:space="preserve">. Taking into account the participation of all actors in the exchange, the clear contours of the organization from the industrial economy are lost. The organization in the knowledge economy is integrated with its environment and extends to both the </w:t>
      </w:r>
      <w:r w:rsidR="002B540E">
        <w:t>“</w:t>
      </w:r>
      <w:r w:rsidRPr="001B26FA">
        <w:rPr>
          <w:rFonts w:cs="Calibri"/>
        </w:rPr>
        <w:t>user</w:t>
      </w:r>
      <w:r w:rsidR="002B540E">
        <w:t>’</w:t>
      </w:r>
      <w:r w:rsidRPr="001B26FA">
        <w:rPr>
          <w:rFonts w:cs="Calibri"/>
        </w:rPr>
        <w:t>s user</w:t>
      </w:r>
      <w:r w:rsidR="002B540E">
        <w:t>”</w:t>
      </w:r>
      <w:r w:rsidRPr="001B26FA">
        <w:rPr>
          <w:rFonts w:cs="Calibri"/>
        </w:rPr>
        <w:t xml:space="preserve"> and the </w:t>
      </w:r>
      <w:r w:rsidR="002B540E">
        <w:t>“</w:t>
      </w:r>
      <w:r w:rsidRPr="001B26FA">
        <w:rPr>
          <w:rFonts w:cs="Calibri"/>
        </w:rPr>
        <w:t>supplier</w:t>
      </w:r>
      <w:r w:rsidR="002B540E">
        <w:t>’</w:t>
      </w:r>
      <w:r w:rsidRPr="001B26FA">
        <w:rPr>
          <w:rFonts w:cs="Calibri"/>
        </w:rPr>
        <w:t>s supplier</w:t>
      </w:r>
      <w:r w:rsidR="002B540E">
        <w:t>”</w:t>
      </w:r>
      <w:r w:rsidR="00D72381">
        <w:rPr>
          <w:rFonts w:cs="Calibri"/>
        </w:rPr>
        <w:t>.</w:t>
      </w:r>
    </w:p>
    <w:p w:rsidR="00D72381" w:rsidRDefault="001B26FA" w:rsidP="005D2090">
      <w:pPr>
        <w:ind w:firstLine="0"/>
        <w:rPr>
          <w:rFonts w:cs="Calibri"/>
        </w:rPr>
      </w:pPr>
      <w:r w:rsidRPr="001B26FA">
        <w:rPr>
          <w:rFonts w:cs="Calibri"/>
        </w:rPr>
        <w:t xml:space="preserve">In order to develop a strategy based on </w:t>
      </w:r>
      <w:r w:rsidR="002B540E">
        <w:rPr>
          <w:rFonts w:cs="Calibri"/>
        </w:rPr>
        <w:t xml:space="preserve">the </w:t>
      </w:r>
      <w:r w:rsidRPr="001B26FA">
        <w:rPr>
          <w:rFonts w:cs="Calibri"/>
        </w:rPr>
        <w:t xml:space="preserve">value network it is necessary to map out the value exchange accros the network. The basic concepts of </w:t>
      </w:r>
      <w:r w:rsidR="002B540E">
        <w:rPr>
          <w:rFonts w:cs="Calibri"/>
        </w:rPr>
        <w:t xml:space="preserve">the </w:t>
      </w:r>
      <w:r w:rsidRPr="001B26FA">
        <w:rPr>
          <w:rFonts w:cs="Calibri"/>
        </w:rPr>
        <w:t xml:space="preserve">value network mapping methodology are </w:t>
      </w:r>
      <w:r w:rsidR="00DA2398">
        <w:rPr>
          <w:rFonts w:cs="Calibri"/>
        </w:rPr>
        <w:t>[</w:t>
      </w:r>
      <w:r w:rsidR="003F52C7">
        <w:rPr>
          <w:rFonts w:cs="Calibri"/>
        </w:rPr>
        <w:t>13</w:t>
      </w:r>
      <w:r w:rsidR="00DA2398">
        <w:rPr>
          <w:rFonts w:cs="Calibri"/>
        </w:rPr>
        <w:t>]</w:t>
      </w:r>
      <w:r w:rsidR="00D72381">
        <w:rPr>
          <w:rFonts w:cs="Calibri"/>
        </w:rPr>
        <w:t>:</w:t>
      </w:r>
    </w:p>
    <w:p w:rsidR="00D72381" w:rsidRPr="00DA2398" w:rsidRDefault="00DA2398" w:rsidP="00F13EB8">
      <w:pPr>
        <w:numPr>
          <w:ilvl w:val="0"/>
          <w:numId w:val="17"/>
        </w:numPr>
        <w:ind w:left="426" w:firstLine="0"/>
        <w:rPr>
          <w:rFonts w:cs="Calibri"/>
        </w:rPr>
      </w:pPr>
      <w:r w:rsidRPr="00DA2398">
        <w:rPr>
          <w:rFonts w:cs="Calibri"/>
          <w:b/>
          <w:bCs/>
          <w:lang w:val="en-US"/>
        </w:rPr>
        <w:t>Roles</w:t>
      </w:r>
      <w:r w:rsidR="002B540E">
        <w:rPr>
          <w:rFonts w:cs="Calibri"/>
          <w:b/>
          <w:bCs/>
          <w:lang w:val="en-US"/>
        </w:rPr>
        <w:t xml:space="preserve"> </w:t>
      </w:r>
      <w:r w:rsidRPr="00DA2398">
        <w:rPr>
          <w:rFonts w:cs="Calibri"/>
          <w:lang w:val="en-US"/>
        </w:rPr>
        <w:t xml:space="preserve">are played by participants in the network who provide contribution and carry out functions. </w:t>
      </w:r>
      <w:r w:rsidR="001B26FA">
        <w:rPr>
          <w:rFonts w:cs="Calibri"/>
          <w:lang w:val="en-US"/>
        </w:rPr>
        <w:t>They can be</w:t>
      </w:r>
      <w:r w:rsidR="002B540E">
        <w:rPr>
          <w:rFonts w:cs="Calibri"/>
          <w:lang w:val="en-US"/>
        </w:rPr>
        <w:t xml:space="preserve"> </w:t>
      </w:r>
      <w:r w:rsidR="001B26FA">
        <w:rPr>
          <w:rFonts w:cs="Calibri"/>
          <w:lang w:val="en-US"/>
        </w:rPr>
        <w:t>individuals</w:t>
      </w:r>
      <w:r w:rsidR="002B540E">
        <w:rPr>
          <w:rFonts w:cs="Calibri"/>
          <w:lang w:val="en-US"/>
        </w:rPr>
        <w:t>, teams,</w:t>
      </w:r>
      <w:r w:rsidRPr="00DA2398">
        <w:rPr>
          <w:rFonts w:cs="Calibri"/>
          <w:lang w:val="en-US"/>
        </w:rPr>
        <w:t xml:space="preserve"> business un</w:t>
      </w:r>
      <w:r w:rsidR="00A85A2C">
        <w:rPr>
          <w:rFonts w:cs="Calibri"/>
          <w:lang w:val="en-US"/>
        </w:rPr>
        <w:t>its</w:t>
      </w:r>
      <w:r w:rsidR="001B26FA">
        <w:rPr>
          <w:rFonts w:cs="Calibri"/>
          <w:lang w:val="en-US"/>
        </w:rPr>
        <w:t>,</w:t>
      </w:r>
      <w:r w:rsidR="00A85A2C">
        <w:rPr>
          <w:rFonts w:cs="Calibri"/>
          <w:lang w:val="en-US"/>
        </w:rPr>
        <w:t xml:space="preserve"> wholе </w:t>
      </w:r>
      <w:r w:rsidR="002B540E">
        <w:rPr>
          <w:rFonts w:cs="Calibri"/>
          <w:lang w:val="en-US"/>
        </w:rPr>
        <w:t>organizations, communities,</w:t>
      </w:r>
      <w:r w:rsidR="00A85A2C">
        <w:rPr>
          <w:rFonts w:cs="Calibri"/>
          <w:lang w:val="en-US"/>
        </w:rPr>
        <w:t xml:space="preserve"> </w:t>
      </w:r>
      <w:r w:rsidR="001B26FA">
        <w:rPr>
          <w:rFonts w:cs="Calibri"/>
          <w:lang w:val="en-US"/>
        </w:rPr>
        <w:t xml:space="preserve">or </w:t>
      </w:r>
      <w:r w:rsidR="00A85A2C">
        <w:rPr>
          <w:rFonts w:cs="Calibri"/>
          <w:lang w:val="en-US"/>
        </w:rPr>
        <w:t>governement.</w:t>
      </w:r>
    </w:p>
    <w:p w:rsidR="00D72381" w:rsidRPr="001B26FA" w:rsidRDefault="00A85A2C" w:rsidP="001B26FA">
      <w:pPr>
        <w:numPr>
          <w:ilvl w:val="0"/>
          <w:numId w:val="17"/>
        </w:numPr>
        <w:ind w:left="426" w:firstLine="0"/>
        <w:rPr>
          <w:rFonts w:cs="Calibri"/>
          <w:bCs/>
          <w:lang w:val="en-US"/>
        </w:rPr>
      </w:pPr>
      <w:r w:rsidRPr="001B26FA">
        <w:rPr>
          <w:rFonts w:cs="Calibri"/>
          <w:b/>
          <w:bCs/>
          <w:lang w:val="en-US"/>
        </w:rPr>
        <w:t>Transactions</w:t>
      </w:r>
      <w:r w:rsidR="002B540E">
        <w:rPr>
          <w:rFonts w:cs="Calibri"/>
          <w:b/>
          <w:bCs/>
          <w:lang w:val="en-US"/>
        </w:rPr>
        <w:t xml:space="preserve"> </w:t>
      </w:r>
      <w:r w:rsidRPr="001B26FA">
        <w:rPr>
          <w:rFonts w:cs="Calibri"/>
          <w:bCs/>
          <w:lang w:val="en-US"/>
        </w:rPr>
        <w:t xml:space="preserve">or activities originate with one participant and end with another. Transactions are presented by arrows. Solid </w:t>
      </w:r>
      <w:r w:rsidR="003F1A27" w:rsidRPr="001B26FA">
        <w:rPr>
          <w:rFonts w:cs="Calibri"/>
          <w:bCs/>
          <w:lang w:val="en-US"/>
        </w:rPr>
        <w:t>line arrows present tangible exchanges such as product and revenue. Dashed lines depict intangible flows</w:t>
      </w:r>
      <w:r w:rsidR="00D72381" w:rsidRPr="001B26FA">
        <w:rPr>
          <w:rFonts w:cs="Calibri"/>
          <w:bCs/>
          <w:lang w:val="en-US"/>
        </w:rPr>
        <w:t xml:space="preserve">. </w:t>
      </w:r>
      <w:r w:rsidR="001B26FA" w:rsidRPr="001B26FA">
        <w:rPr>
          <w:rFonts w:cs="Calibri"/>
          <w:bCs/>
          <w:lang w:val="en-US"/>
        </w:rPr>
        <w:t xml:space="preserve">The transaction has its destination </w:t>
      </w:r>
      <w:r w:rsidR="002B540E">
        <w:rPr>
          <w:rFonts w:cs="Calibri"/>
          <w:bCs/>
          <w:lang w:val="en-US"/>
        </w:rPr>
        <w:t>–</w:t>
      </w:r>
      <w:r w:rsidR="001B26FA" w:rsidRPr="001B26FA">
        <w:rPr>
          <w:rFonts w:cs="Calibri"/>
          <w:bCs/>
          <w:lang w:val="en-US"/>
        </w:rPr>
        <w:t xml:space="preserve"> a real person or a participant who accepts it</w:t>
      </w:r>
      <w:r w:rsidR="00D72381" w:rsidRPr="001B26FA">
        <w:rPr>
          <w:rFonts w:cs="Calibri"/>
          <w:bCs/>
          <w:lang w:val="en-US"/>
        </w:rPr>
        <w:t>.</w:t>
      </w:r>
    </w:p>
    <w:p w:rsidR="00B470F0" w:rsidRPr="00B470F0" w:rsidRDefault="003F1A27" w:rsidP="00F13EB8">
      <w:pPr>
        <w:numPr>
          <w:ilvl w:val="0"/>
          <w:numId w:val="17"/>
        </w:numPr>
        <w:ind w:left="426" w:firstLine="0"/>
        <w:rPr>
          <w:rFonts w:cs="Calibri"/>
        </w:rPr>
      </w:pPr>
      <w:r w:rsidRPr="00B470F0">
        <w:rPr>
          <w:rFonts w:cs="Calibri"/>
          <w:b/>
          <w:bCs/>
          <w:lang w:val="en-US"/>
        </w:rPr>
        <w:t>Deliverable</w:t>
      </w:r>
      <w:r w:rsidR="001B26FA" w:rsidRPr="001B26FA">
        <w:rPr>
          <w:rFonts w:cs="Calibri"/>
          <w:b/>
          <w:bCs/>
          <w:lang w:val="en-US"/>
        </w:rPr>
        <w:t>s</w:t>
      </w:r>
      <w:r w:rsidR="002B540E">
        <w:rPr>
          <w:rFonts w:cs="Calibri"/>
          <w:b/>
          <w:bCs/>
          <w:lang w:val="en-US"/>
        </w:rPr>
        <w:t xml:space="preserve"> </w:t>
      </w:r>
      <w:r w:rsidRPr="00B470F0">
        <w:rPr>
          <w:rFonts w:cs="Calibri"/>
          <w:lang w:val="en-US"/>
        </w:rPr>
        <w:t>are objects of a transactio</w:t>
      </w:r>
      <w:r w:rsidR="001B26FA">
        <w:rPr>
          <w:rFonts w:cs="Calibri"/>
          <w:lang w:val="en-US"/>
        </w:rPr>
        <w:t xml:space="preserve">n, and </w:t>
      </w:r>
      <w:r w:rsidR="002B540E">
        <w:rPr>
          <w:rFonts w:cs="Calibri"/>
          <w:lang w:val="en-US"/>
        </w:rPr>
        <w:t>they</w:t>
      </w:r>
      <w:r w:rsidR="001B26FA">
        <w:rPr>
          <w:rFonts w:cs="Calibri"/>
          <w:lang w:val="en-US"/>
        </w:rPr>
        <w:t xml:space="preserve"> can be tangible (e.g.</w:t>
      </w:r>
      <w:r w:rsidRPr="00B470F0">
        <w:rPr>
          <w:rFonts w:cs="Calibri"/>
          <w:lang w:val="en-US"/>
        </w:rPr>
        <w:t xml:space="preserve"> a product</w:t>
      </w:r>
      <w:r w:rsidR="001B26FA">
        <w:rPr>
          <w:rFonts w:cs="Calibri"/>
          <w:lang w:val="en-US"/>
        </w:rPr>
        <w:t>, a document, report</w:t>
      </w:r>
      <w:r w:rsidR="002B540E">
        <w:rPr>
          <w:rFonts w:cs="Calibri"/>
          <w:lang w:val="en-US"/>
        </w:rPr>
        <w:t>, etc.</w:t>
      </w:r>
      <w:r w:rsidRPr="00B470F0">
        <w:rPr>
          <w:rFonts w:cs="Calibri"/>
          <w:lang w:val="en-US"/>
        </w:rPr>
        <w:t>)</w:t>
      </w:r>
      <w:r w:rsidR="001B26FA">
        <w:rPr>
          <w:rFonts w:cs="Calibri"/>
          <w:lang w:val="en-US"/>
        </w:rPr>
        <w:t>,</w:t>
      </w:r>
      <w:r w:rsidRPr="00B470F0">
        <w:rPr>
          <w:rFonts w:cs="Calibri"/>
          <w:lang w:val="en-US"/>
        </w:rPr>
        <w:t xml:space="preserve"> or intangible</w:t>
      </w:r>
      <w:r w:rsidR="001B26FA">
        <w:rPr>
          <w:rFonts w:cs="Calibri"/>
          <w:lang w:val="en-US"/>
        </w:rPr>
        <w:t xml:space="preserve"> (e.g.</w:t>
      </w:r>
      <w:r w:rsidR="002B540E">
        <w:rPr>
          <w:rFonts w:cs="Calibri"/>
          <w:lang w:val="en-US"/>
        </w:rPr>
        <w:t xml:space="preserve"> </w:t>
      </w:r>
      <w:r w:rsidRPr="00B470F0">
        <w:rPr>
          <w:rFonts w:cs="Calibri"/>
          <w:lang w:val="en-US"/>
        </w:rPr>
        <w:t>knowledge, information</w:t>
      </w:r>
      <w:r w:rsidR="002B540E">
        <w:rPr>
          <w:rFonts w:cs="Calibri"/>
          <w:lang w:val="en-US"/>
        </w:rPr>
        <w:t>, etc</w:t>
      </w:r>
      <w:r w:rsidRPr="00B470F0">
        <w:rPr>
          <w:rFonts w:cs="Calibri"/>
          <w:lang w:val="en-US"/>
        </w:rPr>
        <w:t>.)</w:t>
      </w:r>
      <w:r w:rsidR="002B540E">
        <w:rPr>
          <w:rFonts w:cs="Calibri"/>
          <w:lang w:val="en-US"/>
        </w:rPr>
        <w:t>.</w:t>
      </w:r>
      <w:r w:rsidRPr="00B470F0">
        <w:rPr>
          <w:rFonts w:cs="Calibri"/>
          <w:lang w:val="en-US"/>
        </w:rPr>
        <w:t xml:space="preserve"> </w:t>
      </w:r>
    </w:p>
    <w:p w:rsidR="00CD4D85" w:rsidRDefault="00CD4D85" w:rsidP="00B470F0">
      <w:pPr>
        <w:pStyle w:val="Heading2"/>
        <w:numPr>
          <w:ilvl w:val="0"/>
          <w:numId w:val="0"/>
        </w:numPr>
        <w:ind w:left="360"/>
        <w:rPr>
          <w:lang w:val="en-US"/>
        </w:rPr>
      </w:pPr>
      <w:r>
        <w:rPr>
          <w:lang w:val="en-US"/>
        </w:rPr>
        <w:t xml:space="preserve">customer relationship management  </w:t>
      </w:r>
    </w:p>
    <w:p w:rsidR="00CD4D85" w:rsidRPr="00CD4D85" w:rsidRDefault="00CD4D85" w:rsidP="005D2090">
      <w:pPr>
        <w:autoSpaceDE w:val="0"/>
        <w:autoSpaceDN w:val="0"/>
        <w:adjustRightInd w:val="0"/>
        <w:rPr>
          <w:szCs w:val="24"/>
        </w:rPr>
      </w:pPr>
      <w:r w:rsidRPr="00CD4D85">
        <w:rPr>
          <w:color w:val="000000"/>
          <w:szCs w:val="24"/>
        </w:rPr>
        <w:t>Companies must know how to manage all organizational intangible capital, intellectual capital (IC), and consequently the customer-company relationship, as part of IC. Managing intangible exchanges with costumers is an important part of KM.</w:t>
      </w:r>
      <w:r w:rsidRPr="00CD4D85">
        <w:rPr>
          <w:szCs w:val="24"/>
        </w:rPr>
        <w:t xml:space="preserve"> For an enterprise that already manages its customers as its core business, CRM is its core competency, and, most likely</w:t>
      </w:r>
      <w:r w:rsidR="002B540E">
        <w:rPr>
          <w:szCs w:val="24"/>
        </w:rPr>
        <w:t>,</w:t>
      </w:r>
      <w:r w:rsidRPr="00CD4D85">
        <w:rPr>
          <w:szCs w:val="24"/>
        </w:rPr>
        <w:t xml:space="preserve"> its competitive advantage.</w:t>
      </w:r>
    </w:p>
    <w:p w:rsidR="00CD4D85" w:rsidRPr="00CD4D85" w:rsidRDefault="00CD4D85" w:rsidP="005D2090">
      <w:pPr>
        <w:tabs>
          <w:tab w:val="left" w:pos="3900"/>
        </w:tabs>
        <w:autoSpaceDE w:val="0"/>
        <w:autoSpaceDN w:val="0"/>
        <w:adjustRightInd w:val="0"/>
        <w:rPr>
          <w:color w:val="000000"/>
          <w:szCs w:val="24"/>
        </w:rPr>
      </w:pPr>
      <w:r w:rsidRPr="00CD4D85">
        <w:rPr>
          <w:szCs w:val="24"/>
        </w:rPr>
        <w:lastRenderedPageBreak/>
        <w:t xml:space="preserve">Companies  operating in today’s </w:t>
      </w:r>
      <w:r w:rsidR="000B7235">
        <w:rPr>
          <w:szCs w:val="24"/>
        </w:rPr>
        <w:t>highly competitive</w:t>
      </w:r>
      <w:r w:rsidRPr="00CD4D85">
        <w:rPr>
          <w:szCs w:val="24"/>
        </w:rPr>
        <w:t xml:space="preserve"> market</w:t>
      </w:r>
      <w:r w:rsidR="000B7235">
        <w:rPr>
          <w:szCs w:val="24"/>
        </w:rPr>
        <w:t>s face</w:t>
      </w:r>
      <w:r w:rsidRPr="00CD4D85">
        <w:rPr>
          <w:szCs w:val="24"/>
        </w:rPr>
        <w:t xml:space="preserve"> major challenge</w:t>
      </w:r>
      <w:r w:rsidR="000B7235">
        <w:rPr>
          <w:szCs w:val="24"/>
        </w:rPr>
        <w:t>s</w:t>
      </w:r>
      <w:r w:rsidRPr="00CD4D85">
        <w:rPr>
          <w:szCs w:val="24"/>
        </w:rPr>
        <w:t xml:space="preserve">: </w:t>
      </w:r>
      <w:r w:rsidR="000B7235">
        <w:rPr>
          <w:szCs w:val="24"/>
        </w:rPr>
        <w:t xml:space="preserve">how </w:t>
      </w:r>
      <w:r w:rsidRPr="00CD4D85">
        <w:rPr>
          <w:szCs w:val="24"/>
        </w:rPr>
        <w:t>to acquire customers efficiently and to effectively retain them.</w:t>
      </w:r>
      <w:r w:rsidR="002B540E">
        <w:rPr>
          <w:szCs w:val="24"/>
        </w:rPr>
        <w:t xml:space="preserve"> </w:t>
      </w:r>
      <w:r w:rsidRPr="00CD4D85">
        <w:rPr>
          <w:szCs w:val="24"/>
        </w:rPr>
        <w:t xml:space="preserve">This problem can be </w:t>
      </w:r>
      <w:r w:rsidR="000B7235">
        <w:rPr>
          <w:szCs w:val="24"/>
        </w:rPr>
        <w:t xml:space="preserve">solved with </w:t>
      </w:r>
      <w:r w:rsidRPr="00CD4D85">
        <w:rPr>
          <w:szCs w:val="24"/>
        </w:rPr>
        <w:t>focus on customer engagement, defined as the strengthening of the customer relationship across touch points and transactions.</w:t>
      </w:r>
    </w:p>
    <w:p w:rsidR="00CD4D85" w:rsidRPr="00CD4D85" w:rsidRDefault="00CD4D85" w:rsidP="005D2090">
      <w:pPr>
        <w:autoSpaceDE w:val="0"/>
        <w:autoSpaceDN w:val="0"/>
        <w:adjustRightInd w:val="0"/>
        <w:rPr>
          <w:szCs w:val="24"/>
        </w:rPr>
      </w:pPr>
      <w:r w:rsidRPr="00CD4D85">
        <w:rPr>
          <w:szCs w:val="24"/>
        </w:rPr>
        <w:t xml:space="preserve">Some benefits of </w:t>
      </w:r>
      <w:r w:rsidR="000B7235">
        <w:rPr>
          <w:szCs w:val="24"/>
        </w:rPr>
        <w:t xml:space="preserve">this </w:t>
      </w:r>
      <w:r w:rsidRPr="00CD4D85">
        <w:rPr>
          <w:szCs w:val="24"/>
        </w:rPr>
        <w:t>engagement can be realized immediately in tangible, bottom-line results. Others are part of a long-term strategy to show customers how company is utilizing its resources to anticipate and meet customer needs.</w:t>
      </w:r>
    </w:p>
    <w:p w:rsidR="00CD4D85" w:rsidRPr="00CD4D85" w:rsidRDefault="00CD4D85" w:rsidP="005D2090">
      <w:pPr>
        <w:autoSpaceDE w:val="0"/>
        <w:autoSpaceDN w:val="0"/>
        <w:adjustRightInd w:val="0"/>
        <w:ind w:firstLine="426"/>
        <w:rPr>
          <w:szCs w:val="24"/>
        </w:rPr>
      </w:pPr>
      <w:r w:rsidRPr="00CD4D85">
        <w:rPr>
          <w:szCs w:val="24"/>
        </w:rPr>
        <w:t>Creating engagement depends on the ability of the organization to develop customer loyalty, deliver customer service, and anticipate customer needs:</w:t>
      </w:r>
    </w:p>
    <w:p w:rsidR="00CD4D85" w:rsidRPr="00CD4D85" w:rsidRDefault="00CD4D85" w:rsidP="005D2090">
      <w:pPr>
        <w:numPr>
          <w:ilvl w:val="0"/>
          <w:numId w:val="18"/>
        </w:numPr>
        <w:autoSpaceDE w:val="0"/>
        <w:autoSpaceDN w:val="0"/>
        <w:adjustRightInd w:val="0"/>
        <w:ind w:left="426" w:firstLine="0"/>
        <w:rPr>
          <w:szCs w:val="24"/>
        </w:rPr>
      </w:pPr>
      <w:r w:rsidRPr="00CD4D85">
        <w:rPr>
          <w:szCs w:val="24"/>
        </w:rPr>
        <w:t xml:space="preserve">By </w:t>
      </w:r>
      <w:r w:rsidR="004749B2">
        <w:rPr>
          <w:szCs w:val="24"/>
        </w:rPr>
        <w:t>focusing on customer engagement</w:t>
      </w:r>
      <w:r w:rsidRPr="00CD4D85">
        <w:rPr>
          <w:szCs w:val="24"/>
        </w:rPr>
        <w:t>, companies gain competitive advantage by delivering the unique customer experiences that drive purchase and cement loyalty.</w:t>
      </w:r>
    </w:p>
    <w:p w:rsidR="00CD4D85" w:rsidRPr="00CD4D85" w:rsidRDefault="00D0276D" w:rsidP="005D2090">
      <w:pPr>
        <w:numPr>
          <w:ilvl w:val="0"/>
          <w:numId w:val="18"/>
        </w:numPr>
        <w:autoSpaceDE w:val="0"/>
        <w:autoSpaceDN w:val="0"/>
        <w:adjustRightInd w:val="0"/>
        <w:ind w:left="426" w:firstLine="0"/>
        <w:rPr>
          <w:szCs w:val="24"/>
        </w:rPr>
      </w:pPr>
      <w:r>
        <w:rPr>
          <w:szCs w:val="24"/>
        </w:rPr>
        <w:t>By i</w:t>
      </w:r>
      <w:r w:rsidR="00CD4D85" w:rsidRPr="00CD4D85">
        <w:rPr>
          <w:szCs w:val="24"/>
        </w:rPr>
        <w:t>mproving customer engagement companies can streamline processes and minimize costs, while delivering the personalized attention and service that customers crave</w:t>
      </w:r>
      <w:r>
        <w:rPr>
          <w:szCs w:val="24"/>
        </w:rPr>
        <w:t xml:space="preserve"> for</w:t>
      </w:r>
      <w:r w:rsidR="00CD4D85" w:rsidRPr="00CD4D85">
        <w:rPr>
          <w:szCs w:val="24"/>
        </w:rPr>
        <w:t xml:space="preserve">. </w:t>
      </w:r>
      <w:r>
        <w:rPr>
          <w:szCs w:val="24"/>
        </w:rPr>
        <w:t>Companies that differentiate themselves</w:t>
      </w:r>
      <w:r w:rsidR="002B540E">
        <w:rPr>
          <w:szCs w:val="24"/>
        </w:rPr>
        <w:t xml:space="preserve"> </w:t>
      </w:r>
      <w:r>
        <w:rPr>
          <w:szCs w:val="24"/>
        </w:rPr>
        <w:t xml:space="preserve">with </w:t>
      </w:r>
      <w:r w:rsidR="00CD4D85" w:rsidRPr="00CD4D85">
        <w:rPr>
          <w:szCs w:val="24"/>
        </w:rPr>
        <w:t xml:space="preserve">unique customer experience </w:t>
      </w:r>
      <w:r>
        <w:rPr>
          <w:szCs w:val="24"/>
        </w:rPr>
        <w:t>gain competitive advantage</w:t>
      </w:r>
      <w:r w:rsidR="00CD4D85" w:rsidRPr="00CD4D85">
        <w:rPr>
          <w:szCs w:val="24"/>
        </w:rPr>
        <w:t>.</w:t>
      </w:r>
    </w:p>
    <w:p w:rsidR="00CD4D85" w:rsidRPr="00CD4D85" w:rsidRDefault="00CD4D85" w:rsidP="005D2090">
      <w:pPr>
        <w:numPr>
          <w:ilvl w:val="0"/>
          <w:numId w:val="18"/>
        </w:numPr>
        <w:autoSpaceDE w:val="0"/>
        <w:autoSpaceDN w:val="0"/>
        <w:adjustRightInd w:val="0"/>
        <w:ind w:left="426" w:firstLine="0"/>
        <w:rPr>
          <w:rStyle w:val="hps"/>
          <w:szCs w:val="24"/>
        </w:rPr>
      </w:pPr>
      <w:r w:rsidRPr="00CD4D85">
        <w:rPr>
          <w:szCs w:val="24"/>
        </w:rPr>
        <w:t xml:space="preserve">By discovering and anticipating customer needs and providing the services that they demand, companies can turn a casual customer into a long-term, high-value business partner.  Companies can use their knowledge of customer activities to guide strategies for retaining and building multichannel relationship with their most important customers. Companies </w:t>
      </w:r>
      <w:r w:rsidR="00D0276D">
        <w:rPr>
          <w:szCs w:val="24"/>
        </w:rPr>
        <w:t>that learn about their customer</w:t>
      </w:r>
      <w:r w:rsidRPr="00CD4D85">
        <w:rPr>
          <w:szCs w:val="24"/>
        </w:rPr>
        <w:t>s</w:t>
      </w:r>
      <w:r w:rsidR="002B540E">
        <w:rPr>
          <w:szCs w:val="24"/>
        </w:rPr>
        <w:t>’</w:t>
      </w:r>
      <w:r w:rsidRPr="00CD4D85">
        <w:rPr>
          <w:szCs w:val="24"/>
        </w:rPr>
        <w:t xml:space="preserve"> need</w:t>
      </w:r>
      <w:r w:rsidR="00D0276D">
        <w:rPr>
          <w:szCs w:val="24"/>
        </w:rPr>
        <w:t>s</w:t>
      </w:r>
      <w:r w:rsidRPr="00CD4D85">
        <w:rPr>
          <w:szCs w:val="24"/>
        </w:rPr>
        <w:t xml:space="preserve">, </w:t>
      </w:r>
      <w:r w:rsidRPr="00CD4D85">
        <w:rPr>
          <w:rStyle w:val="hps"/>
          <w:szCs w:val="24"/>
        </w:rPr>
        <w:t xml:space="preserve">through </w:t>
      </w:r>
      <w:r w:rsidR="00D0276D">
        <w:rPr>
          <w:rStyle w:val="hps"/>
          <w:szCs w:val="24"/>
        </w:rPr>
        <w:t>torough</w:t>
      </w:r>
      <w:r w:rsidRPr="00CD4D85">
        <w:rPr>
          <w:rStyle w:val="shorttext"/>
          <w:szCs w:val="24"/>
        </w:rPr>
        <w:t xml:space="preserve"> and </w:t>
      </w:r>
      <w:r w:rsidRPr="00CD4D85">
        <w:rPr>
          <w:rStyle w:val="hps"/>
          <w:szCs w:val="24"/>
        </w:rPr>
        <w:t>engaged</w:t>
      </w:r>
      <w:r w:rsidRPr="00CD4D85">
        <w:rPr>
          <w:rStyle w:val="shorttext"/>
          <w:szCs w:val="24"/>
        </w:rPr>
        <w:t xml:space="preserve"> communication </w:t>
      </w:r>
      <w:r w:rsidR="00D0276D">
        <w:rPr>
          <w:rStyle w:val="hps"/>
          <w:szCs w:val="24"/>
        </w:rPr>
        <w:t>with them</w:t>
      </w:r>
      <w:r w:rsidRPr="00CD4D85">
        <w:rPr>
          <w:rStyle w:val="hps"/>
          <w:szCs w:val="24"/>
        </w:rPr>
        <w:t>, are in a position to identify new opportunities and tailor  product offers to suit customer</w:t>
      </w:r>
      <w:r w:rsidR="00D0276D">
        <w:rPr>
          <w:rStyle w:val="hps"/>
          <w:szCs w:val="24"/>
        </w:rPr>
        <w:t>s</w:t>
      </w:r>
      <w:r w:rsidR="002B540E">
        <w:rPr>
          <w:rStyle w:val="hps"/>
          <w:szCs w:val="24"/>
        </w:rPr>
        <w:t>’</w:t>
      </w:r>
      <w:r w:rsidRPr="00CD4D85">
        <w:rPr>
          <w:rStyle w:val="hps"/>
          <w:szCs w:val="24"/>
        </w:rPr>
        <w:t>preferences. In a competitive market there is no better way to build profitable customer relationship then by educating them about additional products that c</w:t>
      </w:r>
      <w:r w:rsidR="00D0276D">
        <w:rPr>
          <w:rStyle w:val="hps"/>
          <w:szCs w:val="24"/>
        </w:rPr>
        <w:t>ould</w:t>
      </w:r>
      <w:r w:rsidRPr="00CD4D85">
        <w:rPr>
          <w:rStyle w:val="hps"/>
          <w:szCs w:val="24"/>
        </w:rPr>
        <w:t xml:space="preserve"> streamline their businesses.</w:t>
      </w:r>
    </w:p>
    <w:p w:rsidR="00CD4D85" w:rsidRPr="00CD4D85" w:rsidRDefault="00CD4D85" w:rsidP="00CD4D85">
      <w:pPr>
        <w:autoSpaceDE w:val="0"/>
        <w:autoSpaceDN w:val="0"/>
        <w:adjustRightInd w:val="0"/>
        <w:rPr>
          <w:rStyle w:val="hps"/>
          <w:szCs w:val="24"/>
        </w:rPr>
      </w:pPr>
      <w:r w:rsidRPr="00CD4D85">
        <w:rPr>
          <w:szCs w:val="24"/>
        </w:rPr>
        <w:t xml:space="preserve">When customers are fully engaged, </w:t>
      </w:r>
      <w:r w:rsidR="002B540E">
        <w:rPr>
          <w:szCs w:val="24"/>
        </w:rPr>
        <w:t>it</w:t>
      </w:r>
      <w:r w:rsidRPr="00CD4D85">
        <w:rPr>
          <w:szCs w:val="24"/>
        </w:rPr>
        <w:t xml:space="preserve"> means the business relationship has a foundation of loyalty and trust.  </w:t>
      </w:r>
      <w:r w:rsidRPr="00CD4D85">
        <w:rPr>
          <w:rStyle w:val="hps"/>
          <w:szCs w:val="24"/>
        </w:rPr>
        <w:t>Trust</w:t>
      </w:r>
      <w:r w:rsidR="002B540E">
        <w:rPr>
          <w:rStyle w:val="hps"/>
          <w:szCs w:val="24"/>
        </w:rPr>
        <w:t xml:space="preserve"> </w:t>
      </w:r>
      <w:r w:rsidRPr="00CD4D85">
        <w:rPr>
          <w:rStyle w:val="hps"/>
          <w:szCs w:val="24"/>
        </w:rPr>
        <w:t>is a</w:t>
      </w:r>
      <w:r w:rsidR="002B540E">
        <w:rPr>
          <w:rStyle w:val="hps"/>
          <w:szCs w:val="24"/>
        </w:rPr>
        <w:t xml:space="preserve"> </w:t>
      </w:r>
      <w:r w:rsidRPr="00CD4D85">
        <w:rPr>
          <w:rStyle w:val="hps"/>
          <w:szCs w:val="24"/>
        </w:rPr>
        <w:t>p</w:t>
      </w:r>
      <w:r w:rsidR="00D0276D">
        <w:rPr>
          <w:rStyle w:val="hps"/>
          <w:szCs w:val="24"/>
        </w:rPr>
        <w:t>rerequisite, the most important</w:t>
      </w:r>
      <w:r w:rsidRPr="00CD4D85">
        <w:rPr>
          <w:rStyle w:val="hps"/>
          <w:szCs w:val="24"/>
        </w:rPr>
        <w:t xml:space="preserve"> factor</w:t>
      </w:r>
      <w:r w:rsidR="002B540E">
        <w:rPr>
          <w:rStyle w:val="hps"/>
          <w:szCs w:val="24"/>
        </w:rPr>
        <w:t xml:space="preserve"> </w:t>
      </w:r>
      <w:r w:rsidRPr="00CD4D85">
        <w:rPr>
          <w:rStyle w:val="hps"/>
          <w:szCs w:val="24"/>
        </w:rPr>
        <w:t>for the flow</w:t>
      </w:r>
      <w:r w:rsidR="002B540E">
        <w:rPr>
          <w:rStyle w:val="hps"/>
          <w:szCs w:val="24"/>
        </w:rPr>
        <w:t xml:space="preserve"> </w:t>
      </w:r>
      <w:r w:rsidRPr="00CD4D85">
        <w:rPr>
          <w:rStyle w:val="hps"/>
          <w:szCs w:val="24"/>
        </w:rPr>
        <w:t>in value</w:t>
      </w:r>
      <w:r w:rsidR="002B540E">
        <w:rPr>
          <w:rStyle w:val="hps"/>
          <w:szCs w:val="24"/>
        </w:rPr>
        <w:t xml:space="preserve"> </w:t>
      </w:r>
      <w:r w:rsidRPr="00CD4D85">
        <w:rPr>
          <w:rStyle w:val="hps"/>
          <w:szCs w:val="24"/>
        </w:rPr>
        <w:t>networks.</w:t>
      </w:r>
    </w:p>
    <w:p w:rsidR="006A0078" w:rsidRPr="006A0078" w:rsidRDefault="00CD4D85" w:rsidP="006A0078">
      <w:pPr>
        <w:pStyle w:val="Heading2"/>
        <w:rPr>
          <w:lang w:val="en-US"/>
        </w:rPr>
      </w:pPr>
      <w:r>
        <w:rPr>
          <w:lang w:val="en-US"/>
        </w:rPr>
        <w:t xml:space="preserve">case study </w:t>
      </w:r>
    </w:p>
    <w:p w:rsidR="00454939" w:rsidRPr="005D2090" w:rsidRDefault="00D0276D" w:rsidP="005D2090">
      <w:pPr>
        <w:ind w:firstLine="340"/>
      </w:pPr>
      <w:r w:rsidRPr="00D0276D">
        <w:t>The example presented in this paper illustrates the methodology of creating motivational strategies to increase customer engagement in the process of exchange with the organization. Th</w:t>
      </w:r>
      <w:r>
        <w:t>e model is based on key factors;</w:t>
      </w:r>
      <w:r w:rsidRPr="00D0276D">
        <w:t xml:space="preserve"> value network, participants</w:t>
      </w:r>
      <w:r>
        <w:t>,</w:t>
      </w:r>
      <w:r w:rsidRPr="00D0276D">
        <w:t xml:space="preserve"> and flows of tangible and intangible transactions through the network</w:t>
      </w:r>
      <w:r w:rsidR="00550986" w:rsidRPr="005D2090">
        <w:t>.</w:t>
      </w:r>
    </w:p>
    <w:p w:rsidR="00550986" w:rsidRDefault="00A50538" w:rsidP="005D2090">
      <w:pPr>
        <w:ind w:firstLine="340"/>
        <w:rPr>
          <w:rFonts w:ascii="Calibri" w:hAnsi="Calibri" w:cs="Calibri"/>
        </w:rPr>
      </w:pPr>
      <w:r w:rsidRPr="00A50538">
        <w:t>The proposed methodology was applied to a case study that looks at students as users of educational service, and the Faculty as an organization that provides th</w:t>
      </w:r>
      <w:r w:rsidR="0051074B">
        <w:t>e</w:t>
      </w:r>
      <w:r w:rsidRPr="00A50538">
        <w:t xml:space="preserve"> service. The research was conducted with the aim of determining the possibilities of development and application of the value network model at institutions of higher education, on the example of the Faculty of Technical Sciences, Department of Industrial Engineering and Management, University of Novi Sad, Serbia. The basic value that is placed in the focus of the research is the exchange of knowledge, and motivation for the engagement of students in the process of acquiring and exchanging knowledge. The research aims to illustrate the proposed methodology by focusing on students and their interactions with other elements of the value network of the educational process, such as: teachin</w:t>
      </w:r>
      <w:r>
        <w:t>g staff (professors, assistants</w:t>
      </w:r>
      <w:r w:rsidR="0051074B">
        <w:t>, etc</w:t>
      </w:r>
      <w:r w:rsidRPr="00A50538">
        <w:t>.), non-teaching staff (student se</w:t>
      </w:r>
      <w:r>
        <w:t xml:space="preserve">rvices and other administrative </w:t>
      </w:r>
      <w:r w:rsidRPr="00A50538">
        <w:t xml:space="preserve">staff), </w:t>
      </w:r>
      <w:r>
        <w:t>as well as</w:t>
      </w:r>
      <w:r w:rsidRPr="00A50538">
        <w:t xml:space="preserve"> </w:t>
      </w:r>
      <w:r w:rsidR="0051074B">
        <w:t xml:space="preserve">a </w:t>
      </w:r>
      <w:r w:rsidRPr="00A50538">
        <w:t xml:space="preserve">wider community. The research uses statistical methods in order to prove or reject defined hypotheses, such as the hypothesis that </w:t>
      </w:r>
      <w:r w:rsidRPr="00A50538">
        <w:lastRenderedPageBreak/>
        <w:t>it is possible to identify key current motivational factors that affect student engage</w:t>
      </w:r>
      <w:r>
        <w:t>ment in the educational process</w:t>
      </w:r>
      <w:r w:rsidR="006F1971">
        <w:rPr>
          <w:rFonts w:ascii="Calibri" w:hAnsi="Calibri" w:cs="Calibri"/>
        </w:rPr>
        <w:t>.</w:t>
      </w:r>
    </w:p>
    <w:p w:rsidR="00CB6F80" w:rsidRPr="005D2090" w:rsidRDefault="006A0078" w:rsidP="00F13EB8">
      <w:pPr>
        <w:ind w:firstLine="340"/>
      </w:pPr>
      <w:r w:rsidRPr="005D2090">
        <w:t xml:space="preserve">The core aim of the case study is </w:t>
      </w:r>
      <w:r w:rsidR="0051074B">
        <w:t xml:space="preserve">the </w:t>
      </w:r>
      <w:r w:rsidRPr="005D2090">
        <w:t xml:space="preserve">development of </w:t>
      </w:r>
      <w:r w:rsidR="0051074B">
        <w:t xml:space="preserve">a </w:t>
      </w:r>
      <w:r w:rsidRPr="005D2090">
        <w:t xml:space="preserve">reliable model of </w:t>
      </w:r>
      <w:r w:rsidR="0051074B">
        <w:t xml:space="preserve">a </w:t>
      </w:r>
      <w:r w:rsidRPr="005D2090">
        <w:t xml:space="preserve">value based network and </w:t>
      </w:r>
      <w:r w:rsidR="00A50538" w:rsidRPr="00A50538">
        <w:t xml:space="preserve">key motivating factors that affect the efficiency and effectiveness of the education process. The process of creating </w:t>
      </w:r>
      <w:r w:rsidR="0051074B">
        <w:t>the</w:t>
      </w:r>
      <w:r w:rsidR="00A50538" w:rsidRPr="00A50538">
        <w:t xml:space="preserve"> model can be divided into phases: 1) Working with a focus group with the goal of creating an instrument for determining the motivational factors that affect the degree of student engage</w:t>
      </w:r>
      <w:r w:rsidR="00A50538">
        <w:t>ment in the educational process;</w:t>
      </w:r>
      <w:r w:rsidR="00A50538" w:rsidRPr="00A50538">
        <w:t xml:space="preserve"> 2) Conducting survey</w:t>
      </w:r>
      <w:r w:rsidR="00A50538">
        <w:t xml:space="preserve"> within </w:t>
      </w:r>
      <w:r w:rsidR="0051074B">
        <w:t xml:space="preserve">a </w:t>
      </w:r>
      <w:r w:rsidR="00A50538">
        <w:t>selected sample;</w:t>
      </w:r>
      <w:r w:rsidR="00A50538" w:rsidRPr="00A50538">
        <w:t xml:space="preserve"> 3) Analysis of survey results and definition of key factors that affect the engagement of stud</w:t>
      </w:r>
      <w:r w:rsidR="00A50538">
        <w:t>ents in the educational process;</w:t>
      </w:r>
      <w:r w:rsidR="00A50538" w:rsidRPr="00A50538">
        <w:t xml:space="preserve"> 4) Defining key participants, transactions, transaction objects (tangible and intangible) and creating </w:t>
      </w:r>
      <w:r w:rsidR="0051074B">
        <w:t>the</w:t>
      </w:r>
      <w:r w:rsidR="00A50538" w:rsidRPr="00A50538">
        <w:t xml:space="preserve"> value network</w:t>
      </w:r>
      <w:r w:rsidR="00BE6A2E" w:rsidRPr="005D2090">
        <w:t>.</w:t>
      </w:r>
    </w:p>
    <w:p w:rsidR="00703031" w:rsidRPr="005D2090" w:rsidRDefault="00842065" w:rsidP="00BE3FB8">
      <w:pPr>
        <w:ind w:firstLine="426"/>
      </w:pPr>
      <w:r w:rsidRPr="00842065">
        <w:t>The goal of the first phase of the research was to define motivators and de-motivators, current and potential, in talks with the focus group of students, which were used to create a questionnaire for the second phase of the research. The focus group was selected in a way that it  represented study groups within which students learned, cooperated, and shared knowledge and experiences. Respondents in the focus group were asked to list what motivated,</w:t>
      </w:r>
      <w:r w:rsidR="0051074B">
        <w:t xml:space="preserve"> demotivated, or</w:t>
      </w:r>
      <w:r w:rsidRPr="00842065">
        <w:t xml:space="preserve"> could have potentially motivated and demotivated them to learn and share knowledge with others. A total of 119 different items were defined to which the respondents had to give answers, that is, to express their position. In order to measure the attitudes of the respondents, an instrument was created that consisted of three parts. The first part contained instructions for completing the questionnaire</w:t>
      </w:r>
      <w:r>
        <w:t>.</w:t>
      </w:r>
      <w:r w:rsidR="0051074B">
        <w:t xml:space="preserve"> </w:t>
      </w:r>
      <w:r w:rsidRPr="00842065">
        <w:t xml:space="preserve">The second part </w:t>
      </w:r>
      <w:r>
        <w:t>ha</w:t>
      </w:r>
      <w:r w:rsidRPr="00842065">
        <w:t xml:space="preserve">d </w:t>
      </w:r>
      <w:r w:rsidR="0051074B">
        <w:t xml:space="preserve">an </w:t>
      </w:r>
      <w:r w:rsidRPr="00842065">
        <w:t>explanation for the scale according to which respondents were to express their views on each of the elements of the questionnaire. The third part of the questionnaire consisted of 119 variables in relation to which the respondents were supposed to express their opinion. The items were divided into four parts: current de-motivators, potential de-motivators, current motivators and potential motivators. In order to measure attitudes, a five-point Likert scale was used</w:t>
      </w:r>
      <w:r w:rsidR="00703031" w:rsidRPr="005D2090">
        <w:t>.</w:t>
      </w:r>
    </w:p>
    <w:p w:rsidR="00194C0A" w:rsidRPr="005D2090" w:rsidRDefault="006A3D27" w:rsidP="00BE3FB8">
      <w:pPr>
        <w:ind w:firstLine="284"/>
        <w:rPr>
          <w:sz w:val="20"/>
          <w:szCs w:val="20"/>
        </w:rPr>
      </w:pPr>
      <w:r w:rsidRPr="006A3D27">
        <w:t xml:space="preserve">The research was conducted </w:t>
      </w:r>
      <w:r w:rsidR="00B72C36">
        <w:t>on</w:t>
      </w:r>
      <w:r w:rsidR="0051074B">
        <w:t xml:space="preserve"> </w:t>
      </w:r>
      <w:r w:rsidR="001A6AD9">
        <w:t xml:space="preserve">the group of the </w:t>
      </w:r>
      <w:r w:rsidRPr="006A3D27">
        <w:t xml:space="preserve">5th year students </w:t>
      </w:r>
      <w:r w:rsidR="001A6AD9">
        <w:t>at</w:t>
      </w:r>
      <w:r w:rsidRPr="006A3D27">
        <w:t xml:space="preserve"> the Faculty of Technical Sciences, Department of Industrial Engineering and Management who attended lectures on the subject of Knowledge Management. 57 responden</w:t>
      </w:r>
      <w:r>
        <w:t>ts participated in the research</w:t>
      </w:r>
      <w:r w:rsidR="00194C0A" w:rsidRPr="005D2090">
        <w:t>.</w:t>
      </w:r>
    </w:p>
    <w:p w:rsidR="00BE6A2E" w:rsidRPr="001B1E0E" w:rsidRDefault="006A3D27" w:rsidP="001B1E0E">
      <w:r w:rsidRPr="006A3D27">
        <w:t xml:space="preserve">In order to analyze the results of the research, the following statistical techniques were used: Descriptive statistics; Hierarchical cluster analysis </w:t>
      </w:r>
      <w:r w:rsidR="0051074B">
        <w:t>–</w:t>
      </w:r>
      <w:r w:rsidRPr="006A3D27">
        <w:t xml:space="preserve"> Ward's linkage; Exploratory factor analysis</w:t>
      </w:r>
      <w:r w:rsidR="00F13EB8">
        <w:t>.</w:t>
      </w:r>
      <w:r w:rsidR="0051074B">
        <w:t xml:space="preserve"> </w:t>
      </w:r>
      <w:r w:rsidR="00C60AD3" w:rsidRPr="00C60AD3">
        <w:rPr>
          <w:szCs w:val="24"/>
        </w:rPr>
        <w:t>These analy</w:t>
      </w:r>
      <w:r w:rsidR="0051074B">
        <w:rPr>
          <w:szCs w:val="24"/>
        </w:rPr>
        <w:t>s</w:t>
      </w:r>
      <w:r w:rsidR="00C60AD3" w:rsidRPr="00C60AD3">
        <w:rPr>
          <w:szCs w:val="24"/>
        </w:rPr>
        <w:t>es were performed on the entire sample, and then on the three observed clusters. Cluster analysis determined the segmentation of the sample and</w:t>
      </w:r>
      <w:r w:rsidR="0051074B">
        <w:rPr>
          <w:szCs w:val="24"/>
        </w:rPr>
        <w:t>,</w:t>
      </w:r>
      <w:r w:rsidR="00C60AD3" w:rsidRPr="00C60AD3">
        <w:rPr>
          <w:szCs w:val="24"/>
        </w:rPr>
        <w:t xml:space="preserve"> therefore</w:t>
      </w:r>
      <w:r w:rsidR="0051074B">
        <w:rPr>
          <w:szCs w:val="24"/>
        </w:rPr>
        <w:t>,</w:t>
      </w:r>
      <w:r w:rsidR="00C60AD3" w:rsidRPr="00C60AD3">
        <w:rPr>
          <w:szCs w:val="24"/>
        </w:rPr>
        <w:t xml:space="preserve"> we decided to analyze the value networks for each segment separately, all with the aim of the effectiveness of strategies that should result from the analysis of value networks</w:t>
      </w:r>
      <w:r w:rsidR="00BE6A2E" w:rsidRPr="005D2090">
        <w:rPr>
          <w:szCs w:val="24"/>
        </w:rPr>
        <w:t>.</w:t>
      </w:r>
    </w:p>
    <w:p w:rsidR="00194C0A" w:rsidRPr="001B1E0E" w:rsidRDefault="00C60AD3" w:rsidP="001B1E0E">
      <w:pPr>
        <w:rPr>
          <w:szCs w:val="24"/>
        </w:rPr>
      </w:pPr>
      <w:r w:rsidRPr="00C60AD3">
        <w:rPr>
          <w:szCs w:val="24"/>
        </w:rPr>
        <w:t>In the whole sample and in clusters individually, the variables were ranked according to the significance</w:t>
      </w:r>
      <w:r w:rsidR="00303D94">
        <w:rPr>
          <w:szCs w:val="24"/>
        </w:rPr>
        <w:t xml:space="preserve"> level,</w:t>
      </w:r>
      <w:r w:rsidRPr="00C60AD3">
        <w:rPr>
          <w:szCs w:val="24"/>
        </w:rPr>
        <w:t xml:space="preserve"> and the </w:t>
      </w:r>
      <w:r w:rsidR="00303D94">
        <w:rPr>
          <w:szCs w:val="24"/>
        </w:rPr>
        <w:t>level</w:t>
      </w:r>
      <w:r w:rsidRPr="00C60AD3">
        <w:rPr>
          <w:szCs w:val="24"/>
        </w:rPr>
        <w:t xml:space="preserve"> of agreement among respondents</w:t>
      </w:r>
      <w:r w:rsidR="00E857C5" w:rsidRPr="005D2090">
        <w:rPr>
          <w:szCs w:val="24"/>
        </w:rPr>
        <w:t>.</w:t>
      </w:r>
      <w:r w:rsidR="0051074B">
        <w:rPr>
          <w:szCs w:val="24"/>
        </w:rPr>
        <w:t xml:space="preserve"> </w:t>
      </w:r>
      <w:r w:rsidR="008B34E6" w:rsidRPr="005D2090">
        <w:rPr>
          <w:rStyle w:val="alt-edited"/>
        </w:rPr>
        <w:t xml:space="preserve">The KMO (Kaiser-Mayer-Olkin) test and the Bartlett test were used to analyze the justification of the application of factor analysis. </w:t>
      </w:r>
      <w:r w:rsidR="008B34E6" w:rsidRPr="005D2090">
        <w:rPr>
          <w:bCs/>
          <w:lang w:val="en-US"/>
        </w:rPr>
        <w:t xml:space="preserve">No specific number of factors was requested. All the communalities of the items were greater than 0.3. </w:t>
      </w:r>
      <w:r w:rsidR="00303D94" w:rsidRPr="00303D94">
        <w:rPr>
          <w:bCs/>
          <w:lang w:val="en-US"/>
        </w:rPr>
        <w:t>All factors that accounted for 75% of the variance were considered</w:t>
      </w:r>
      <w:r w:rsidR="008B34E6" w:rsidRPr="005D2090">
        <w:rPr>
          <w:bCs/>
          <w:lang w:val="en-US"/>
        </w:rPr>
        <w:t>.</w:t>
      </w:r>
    </w:p>
    <w:p w:rsidR="00CA4BC0" w:rsidRDefault="00CA4BC0" w:rsidP="00E51B92">
      <w:pPr>
        <w:pStyle w:val="Caption"/>
        <w:keepNext/>
      </w:pPr>
    </w:p>
    <w:p w:rsidR="00E51B92" w:rsidRDefault="00E51B92" w:rsidP="00E51B92">
      <w:pPr>
        <w:pStyle w:val="Caption"/>
        <w:keepNext/>
      </w:pPr>
      <w:r>
        <w:t xml:space="preserve">Table </w:t>
      </w:r>
      <w:r w:rsidR="008A6532">
        <w:fldChar w:fldCharType="begin"/>
      </w:r>
      <w:r>
        <w:instrText xml:space="preserve"> SEQ Table \* ARABIC </w:instrText>
      </w:r>
      <w:r w:rsidR="008A6532">
        <w:fldChar w:fldCharType="separate"/>
      </w:r>
      <w:r>
        <w:t>1</w:t>
      </w:r>
      <w:r w:rsidR="008A6532">
        <w:fldChar w:fldCharType="end"/>
      </w:r>
      <w:r w:rsidR="0051074B">
        <w:t xml:space="preserve"> </w:t>
      </w:r>
      <w:r w:rsidR="00D13F1F">
        <w:t>–</w:t>
      </w:r>
      <w:r w:rsidR="0051074B">
        <w:t xml:space="preserve"> </w:t>
      </w:r>
      <w:r w:rsidR="00D13F1F">
        <w:t>The subset of the key factors</w:t>
      </w:r>
    </w:p>
    <w:tbl>
      <w:tblPr>
        <w:tblW w:w="3858" w:type="pct"/>
        <w:tblLook w:val="04A0"/>
      </w:tblPr>
      <w:tblGrid>
        <w:gridCol w:w="276"/>
        <w:gridCol w:w="1660"/>
        <w:gridCol w:w="260"/>
        <w:gridCol w:w="1827"/>
        <w:gridCol w:w="260"/>
        <w:gridCol w:w="506"/>
        <w:gridCol w:w="506"/>
        <w:gridCol w:w="506"/>
        <w:gridCol w:w="383"/>
        <w:gridCol w:w="123"/>
        <w:gridCol w:w="506"/>
        <w:gridCol w:w="506"/>
        <w:gridCol w:w="506"/>
      </w:tblGrid>
      <w:tr w:rsidR="00100F7D" w:rsidRPr="001A227F" w:rsidTr="00DD70C0">
        <w:trPr>
          <w:trHeight w:val="1258"/>
        </w:trPr>
        <w:tc>
          <w:tcPr>
            <w:tcW w:w="1386" w:type="pct"/>
            <w:gridSpan w:val="3"/>
            <w:tcBorders>
              <w:top w:val="single" w:sz="8" w:space="0" w:color="auto"/>
              <w:left w:val="single" w:sz="8" w:space="0" w:color="auto"/>
              <w:bottom w:val="single" w:sz="4" w:space="0" w:color="auto"/>
              <w:right w:val="single" w:sz="4" w:space="0" w:color="auto"/>
            </w:tcBorders>
            <w:shd w:val="clear" w:color="auto" w:fill="auto"/>
            <w:vAlign w:val="center"/>
            <w:hideMark/>
          </w:tcPr>
          <w:p w:rsidR="00AB7461" w:rsidRPr="001A227F" w:rsidRDefault="00AB7461" w:rsidP="009465D8">
            <w:pPr>
              <w:spacing w:after="0"/>
              <w:jc w:val="center"/>
              <w:rPr>
                <w:color w:val="000000"/>
              </w:rPr>
            </w:pPr>
            <w:r w:rsidRPr="001A227F">
              <w:rPr>
                <w:color w:val="000000"/>
              </w:rPr>
              <w:t>Tangible</w:t>
            </w:r>
          </w:p>
        </w:tc>
        <w:tc>
          <w:tcPr>
            <w:tcW w:w="1285" w:type="pct"/>
            <w:gridSpan w:val="2"/>
            <w:tcBorders>
              <w:top w:val="single" w:sz="8" w:space="0" w:color="auto"/>
              <w:left w:val="nil"/>
              <w:bottom w:val="single" w:sz="4" w:space="0" w:color="auto"/>
              <w:right w:val="single" w:sz="4" w:space="0" w:color="auto"/>
            </w:tcBorders>
            <w:shd w:val="clear" w:color="auto" w:fill="auto"/>
            <w:vAlign w:val="center"/>
            <w:hideMark/>
          </w:tcPr>
          <w:p w:rsidR="00AB7461" w:rsidRPr="001A227F" w:rsidRDefault="00AB7461" w:rsidP="009465D8">
            <w:pPr>
              <w:spacing w:after="0"/>
              <w:jc w:val="center"/>
              <w:rPr>
                <w:color w:val="000000"/>
              </w:rPr>
            </w:pPr>
            <w:r w:rsidRPr="001A227F">
              <w:rPr>
                <w:color w:val="000000"/>
              </w:rPr>
              <w:t>Intangible</w:t>
            </w:r>
          </w:p>
        </w:tc>
        <w:tc>
          <w:tcPr>
            <w:tcW w:w="242" w:type="pct"/>
            <w:tcBorders>
              <w:top w:val="single" w:sz="8" w:space="0" w:color="auto"/>
              <w:left w:val="nil"/>
              <w:bottom w:val="single" w:sz="4" w:space="0" w:color="auto"/>
              <w:right w:val="single" w:sz="4" w:space="0" w:color="auto"/>
            </w:tcBorders>
            <w:shd w:val="clear" w:color="auto" w:fill="auto"/>
            <w:textDirection w:val="btLr"/>
            <w:vAlign w:val="center"/>
            <w:hideMark/>
          </w:tcPr>
          <w:p w:rsidR="00AB7461" w:rsidRPr="001A227F" w:rsidRDefault="00AB7461" w:rsidP="00AB7461">
            <w:pPr>
              <w:spacing w:after="0"/>
              <w:ind w:firstLine="0"/>
              <w:jc w:val="center"/>
              <w:rPr>
                <w:color w:val="000000"/>
                <w:sz w:val="20"/>
                <w:szCs w:val="20"/>
              </w:rPr>
            </w:pPr>
            <w:r w:rsidRPr="001A227F">
              <w:rPr>
                <w:color w:val="000000"/>
                <w:sz w:val="20"/>
                <w:szCs w:val="20"/>
              </w:rPr>
              <w:t>Students</w:t>
            </w:r>
          </w:p>
        </w:tc>
        <w:tc>
          <w:tcPr>
            <w:tcW w:w="348" w:type="pct"/>
            <w:tcBorders>
              <w:top w:val="single" w:sz="8" w:space="0" w:color="auto"/>
              <w:left w:val="nil"/>
              <w:bottom w:val="single" w:sz="4" w:space="0" w:color="auto"/>
              <w:right w:val="single" w:sz="4" w:space="0" w:color="auto"/>
            </w:tcBorders>
            <w:shd w:val="clear" w:color="auto" w:fill="auto"/>
            <w:textDirection w:val="btLr"/>
            <w:vAlign w:val="center"/>
            <w:hideMark/>
          </w:tcPr>
          <w:p w:rsidR="00AB7461" w:rsidRPr="001A227F" w:rsidRDefault="00AB7461" w:rsidP="00AB7461">
            <w:pPr>
              <w:spacing w:after="0"/>
              <w:ind w:firstLine="0"/>
              <w:jc w:val="center"/>
              <w:rPr>
                <w:color w:val="000000"/>
                <w:sz w:val="20"/>
                <w:szCs w:val="20"/>
              </w:rPr>
            </w:pPr>
            <w:r w:rsidRPr="001A227F">
              <w:rPr>
                <w:color w:val="000000"/>
                <w:sz w:val="20"/>
                <w:szCs w:val="20"/>
              </w:rPr>
              <w:t>Teaching staff</w:t>
            </w:r>
          </w:p>
        </w:tc>
        <w:tc>
          <w:tcPr>
            <w:tcW w:w="348" w:type="pct"/>
            <w:tcBorders>
              <w:top w:val="single" w:sz="8" w:space="0" w:color="auto"/>
              <w:left w:val="nil"/>
              <w:bottom w:val="single" w:sz="4" w:space="0" w:color="auto"/>
              <w:right w:val="single" w:sz="4" w:space="0" w:color="auto"/>
            </w:tcBorders>
            <w:shd w:val="clear" w:color="auto" w:fill="auto"/>
            <w:textDirection w:val="btLr"/>
            <w:vAlign w:val="center"/>
            <w:hideMark/>
          </w:tcPr>
          <w:p w:rsidR="00AB7461" w:rsidRPr="001A227F" w:rsidRDefault="00AB7461" w:rsidP="00AB7461">
            <w:pPr>
              <w:spacing w:after="0"/>
              <w:ind w:firstLine="0"/>
              <w:jc w:val="center"/>
              <w:rPr>
                <w:color w:val="000000"/>
                <w:sz w:val="20"/>
                <w:szCs w:val="20"/>
              </w:rPr>
            </w:pPr>
            <w:r w:rsidRPr="001A227F">
              <w:rPr>
                <w:color w:val="000000"/>
                <w:sz w:val="20"/>
                <w:szCs w:val="20"/>
              </w:rPr>
              <w:t>Administration</w:t>
            </w:r>
          </w:p>
        </w:tc>
        <w:tc>
          <w:tcPr>
            <w:tcW w:w="348" w:type="pct"/>
            <w:gridSpan w:val="2"/>
            <w:tcBorders>
              <w:top w:val="single" w:sz="8" w:space="0" w:color="auto"/>
              <w:left w:val="nil"/>
              <w:bottom w:val="single" w:sz="4" w:space="0" w:color="auto"/>
              <w:right w:val="single" w:sz="4" w:space="0" w:color="auto"/>
            </w:tcBorders>
            <w:shd w:val="clear" w:color="auto" w:fill="auto"/>
            <w:textDirection w:val="btLr"/>
            <w:vAlign w:val="center"/>
            <w:hideMark/>
          </w:tcPr>
          <w:p w:rsidR="00AB7461" w:rsidRPr="001A227F" w:rsidRDefault="00DD70C0" w:rsidP="00AB7461">
            <w:pPr>
              <w:spacing w:after="0"/>
              <w:ind w:firstLine="0"/>
              <w:jc w:val="center"/>
              <w:rPr>
                <w:color w:val="000000"/>
                <w:sz w:val="20"/>
                <w:szCs w:val="20"/>
              </w:rPr>
            </w:pPr>
            <w:r>
              <w:rPr>
                <w:color w:val="000000"/>
                <w:sz w:val="20"/>
                <w:szCs w:val="20"/>
              </w:rPr>
              <w:t>Studt. s</w:t>
            </w:r>
            <w:r w:rsidR="00AB7461" w:rsidRPr="001A227F">
              <w:rPr>
                <w:color w:val="000000"/>
                <w:sz w:val="20"/>
                <w:szCs w:val="20"/>
              </w:rPr>
              <w:t>ervices</w:t>
            </w:r>
          </w:p>
        </w:tc>
        <w:tc>
          <w:tcPr>
            <w:tcW w:w="348" w:type="pct"/>
            <w:tcBorders>
              <w:top w:val="single" w:sz="8" w:space="0" w:color="auto"/>
              <w:left w:val="nil"/>
              <w:bottom w:val="single" w:sz="4" w:space="0" w:color="auto"/>
              <w:right w:val="single" w:sz="4" w:space="0" w:color="auto"/>
            </w:tcBorders>
            <w:shd w:val="clear" w:color="auto" w:fill="auto"/>
            <w:textDirection w:val="btLr"/>
            <w:vAlign w:val="center"/>
            <w:hideMark/>
          </w:tcPr>
          <w:p w:rsidR="00AB7461" w:rsidRPr="001A227F" w:rsidRDefault="00AB7461" w:rsidP="00AB7461">
            <w:pPr>
              <w:spacing w:after="0"/>
              <w:ind w:firstLine="0"/>
              <w:jc w:val="center"/>
              <w:rPr>
                <w:color w:val="000000"/>
                <w:sz w:val="20"/>
                <w:szCs w:val="20"/>
              </w:rPr>
            </w:pPr>
            <w:r w:rsidRPr="001A227F">
              <w:rPr>
                <w:color w:val="000000"/>
                <w:sz w:val="20"/>
                <w:szCs w:val="20"/>
              </w:rPr>
              <w:t>Government</w:t>
            </w:r>
          </w:p>
        </w:tc>
        <w:tc>
          <w:tcPr>
            <w:tcW w:w="348" w:type="pct"/>
            <w:tcBorders>
              <w:top w:val="single" w:sz="8" w:space="0" w:color="auto"/>
              <w:left w:val="nil"/>
              <w:bottom w:val="single" w:sz="4" w:space="0" w:color="auto"/>
              <w:right w:val="single" w:sz="4" w:space="0" w:color="auto"/>
            </w:tcBorders>
            <w:shd w:val="clear" w:color="auto" w:fill="auto"/>
            <w:textDirection w:val="btLr"/>
            <w:vAlign w:val="center"/>
            <w:hideMark/>
          </w:tcPr>
          <w:p w:rsidR="00AB7461" w:rsidRPr="001A227F" w:rsidRDefault="00AB7461" w:rsidP="00AB7461">
            <w:pPr>
              <w:spacing w:after="0"/>
              <w:ind w:firstLine="0"/>
              <w:jc w:val="center"/>
              <w:rPr>
                <w:color w:val="000000"/>
                <w:sz w:val="20"/>
                <w:szCs w:val="20"/>
              </w:rPr>
            </w:pPr>
            <w:r w:rsidRPr="001A227F">
              <w:rPr>
                <w:color w:val="000000"/>
                <w:sz w:val="20"/>
                <w:szCs w:val="20"/>
              </w:rPr>
              <w:t>Employers</w:t>
            </w:r>
          </w:p>
        </w:tc>
        <w:tc>
          <w:tcPr>
            <w:tcW w:w="348" w:type="pct"/>
            <w:tcBorders>
              <w:top w:val="single" w:sz="8" w:space="0" w:color="auto"/>
              <w:left w:val="nil"/>
              <w:bottom w:val="single" w:sz="4" w:space="0" w:color="auto"/>
              <w:right w:val="single" w:sz="8" w:space="0" w:color="auto"/>
            </w:tcBorders>
            <w:shd w:val="clear" w:color="auto" w:fill="auto"/>
            <w:textDirection w:val="btLr"/>
            <w:vAlign w:val="center"/>
            <w:hideMark/>
          </w:tcPr>
          <w:p w:rsidR="00AB7461" w:rsidRPr="001A227F" w:rsidRDefault="00DD70C0" w:rsidP="00AB7461">
            <w:pPr>
              <w:spacing w:after="0"/>
              <w:ind w:firstLine="0"/>
              <w:jc w:val="center"/>
              <w:rPr>
                <w:color w:val="000000"/>
                <w:sz w:val="20"/>
                <w:szCs w:val="20"/>
              </w:rPr>
            </w:pPr>
            <w:r>
              <w:rPr>
                <w:color w:val="000000"/>
                <w:sz w:val="20"/>
                <w:szCs w:val="20"/>
              </w:rPr>
              <w:t>Student o</w:t>
            </w:r>
            <w:r w:rsidR="00AB7461" w:rsidRPr="001A227F">
              <w:rPr>
                <w:color w:val="000000"/>
                <w:sz w:val="20"/>
                <w:szCs w:val="20"/>
              </w:rPr>
              <w:t>rg.</w:t>
            </w:r>
          </w:p>
        </w:tc>
      </w:tr>
      <w:tr w:rsidR="00100F7D" w:rsidRPr="001A227F" w:rsidTr="00DD70C0">
        <w:trPr>
          <w:trHeight w:val="856"/>
        </w:trPr>
        <w:tc>
          <w:tcPr>
            <w:tcW w:w="1386" w:type="pct"/>
            <w:gridSpan w:val="3"/>
            <w:tcBorders>
              <w:top w:val="nil"/>
              <w:left w:val="single" w:sz="8" w:space="0" w:color="auto"/>
              <w:bottom w:val="single" w:sz="4" w:space="0" w:color="auto"/>
              <w:right w:val="single" w:sz="4" w:space="0" w:color="auto"/>
            </w:tcBorders>
            <w:shd w:val="clear" w:color="auto" w:fill="auto"/>
            <w:vAlign w:val="center"/>
            <w:hideMark/>
          </w:tcPr>
          <w:p w:rsidR="00AB7461" w:rsidRPr="001A227F" w:rsidRDefault="00AB7461" w:rsidP="009465D8">
            <w:pPr>
              <w:spacing w:after="0"/>
              <w:rPr>
                <w:color w:val="000000"/>
                <w:sz w:val="20"/>
                <w:szCs w:val="20"/>
              </w:rPr>
            </w:pPr>
            <w:r w:rsidRPr="001A227F">
              <w:rPr>
                <w:color w:val="000000"/>
                <w:sz w:val="20"/>
                <w:szCs w:val="20"/>
              </w:rPr>
              <w:t> </w:t>
            </w:r>
          </w:p>
        </w:tc>
        <w:tc>
          <w:tcPr>
            <w:tcW w:w="1285" w:type="pct"/>
            <w:gridSpan w:val="2"/>
            <w:tcBorders>
              <w:top w:val="nil"/>
              <w:left w:val="nil"/>
              <w:bottom w:val="single" w:sz="4" w:space="0" w:color="auto"/>
              <w:right w:val="single" w:sz="4" w:space="0" w:color="auto"/>
            </w:tcBorders>
            <w:shd w:val="clear" w:color="auto" w:fill="auto"/>
            <w:vAlign w:val="center"/>
            <w:hideMark/>
          </w:tcPr>
          <w:p w:rsidR="00AB7461" w:rsidRPr="001A227F" w:rsidRDefault="00AB7461" w:rsidP="00AB7461">
            <w:pPr>
              <w:spacing w:after="0"/>
              <w:ind w:firstLine="0"/>
              <w:jc w:val="left"/>
              <w:rPr>
                <w:color w:val="000000"/>
                <w:sz w:val="20"/>
                <w:szCs w:val="20"/>
              </w:rPr>
            </w:pPr>
            <w:r w:rsidRPr="001A227F">
              <w:rPr>
                <w:color w:val="000000"/>
                <w:sz w:val="20"/>
                <w:szCs w:val="20"/>
              </w:rPr>
              <w:t>Opening of new training opportunities after graduation</w:t>
            </w:r>
          </w:p>
        </w:tc>
        <w:tc>
          <w:tcPr>
            <w:tcW w:w="242" w:type="pct"/>
            <w:tcBorders>
              <w:top w:val="nil"/>
              <w:left w:val="nil"/>
              <w:bottom w:val="single" w:sz="4" w:space="0" w:color="auto"/>
              <w:right w:val="single" w:sz="4" w:space="0" w:color="auto"/>
            </w:tcBorders>
            <w:shd w:val="clear" w:color="auto" w:fill="auto"/>
            <w:textDirection w:val="btLr"/>
            <w:vAlign w:val="center"/>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auto" w:fill="auto"/>
            <w:textDirection w:val="btLr"/>
            <w:vAlign w:val="center"/>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000000" w:fill="70AD47"/>
            <w:textDirection w:val="btLr"/>
            <w:vAlign w:val="center"/>
            <w:hideMark/>
          </w:tcPr>
          <w:p w:rsidR="00AB7461" w:rsidRPr="001A227F" w:rsidRDefault="00AB7461" w:rsidP="009465D8">
            <w:pPr>
              <w:spacing w:after="0"/>
              <w:rPr>
                <w:color w:val="000000"/>
              </w:rPr>
            </w:pPr>
            <w:r w:rsidRPr="001A227F">
              <w:rPr>
                <w:color w:val="000000"/>
              </w:rPr>
              <w:t> </w:t>
            </w:r>
          </w:p>
        </w:tc>
        <w:tc>
          <w:tcPr>
            <w:tcW w:w="348" w:type="pct"/>
            <w:gridSpan w:val="2"/>
            <w:tcBorders>
              <w:top w:val="nil"/>
              <w:left w:val="nil"/>
              <w:bottom w:val="single" w:sz="4" w:space="0" w:color="auto"/>
              <w:right w:val="single" w:sz="4" w:space="0" w:color="auto"/>
            </w:tcBorders>
            <w:shd w:val="clear" w:color="auto" w:fill="auto"/>
            <w:textDirection w:val="btLr"/>
            <w:vAlign w:val="center"/>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000000" w:fill="70AD47"/>
            <w:textDirection w:val="btLr"/>
            <w:vAlign w:val="center"/>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000000" w:fill="70AD47"/>
            <w:textDirection w:val="btLr"/>
            <w:vAlign w:val="center"/>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8" w:space="0" w:color="auto"/>
            </w:tcBorders>
            <w:shd w:val="clear" w:color="auto" w:fill="auto"/>
            <w:textDirection w:val="btLr"/>
            <w:vAlign w:val="center"/>
            <w:hideMark/>
          </w:tcPr>
          <w:p w:rsidR="00AB7461" w:rsidRPr="001A227F" w:rsidRDefault="00AB7461" w:rsidP="009465D8">
            <w:pPr>
              <w:spacing w:after="0"/>
              <w:rPr>
                <w:color w:val="000000"/>
              </w:rPr>
            </w:pPr>
            <w:r w:rsidRPr="001A227F">
              <w:rPr>
                <w:color w:val="000000"/>
              </w:rPr>
              <w:t> </w:t>
            </w:r>
          </w:p>
        </w:tc>
      </w:tr>
      <w:tr w:rsidR="00100F7D" w:rsidRPr="001A227F" w:rsidTr="00E4211C">
        <w:trPr>
          <w:trHeight w:val="530"/>
        </w:trPr>
        <w:tc>
          <w:tcPr>
            <w:tcW w:w="1386" w:type="pct"/>
            <w:gridSpan w:val="3"/>
            <w:tcBorders>
              <w:top w:val="nil"/>
              <w:left w:val="single" w:sz="8" w:space="0" w:color="auto"/>
              <w:bottom w:val="single" w:sz="4" w:space="0" w:color="auto"/>
              <w:right w:val="single" w:sz="4" w:space="0" w:color="auto"/>
            </w:tcBorders>
            <w:shd w:val="clear" w:color="auto" w:fill="auto"/>
            <w:vAlign w:val="center"/>
            <w:hideMark/>
          </w:tcPr>
          <w:p w:rsidR="00AB7461" w:rsidRPr="001A227F" w:rsidRDefault="00AB7461" w:rsidP="009465D8">
            <w:pPr>
              <w:spacing w:after="0"/>
              <w:rPr>
                <w:color w:val="000000"/>
                <w:sz w:val="20"/>
                <w:szCs w:val="20"/>
              </w:rPr>
            </w:pPr>
            <w:r w:rsidRPr="001A227F">
              <w:rPr>
                <w:color w:val="000000"/>
                <w:sz w:val="20"/>
                <w:szCs w:val="20"/>
              </w:rPr>
              <w:t> </w:t>
            </w:r>
          </w:p>
        </w:tc>
        <w:tc>
          <w:tcPr>
            <w:tcW w:w="1285" w:type="pct"/>
            <w:gridSpan w:val="2"/>
            <w:tcBorders>
              <w:top w:val="nil"/>
              <w:left w:val="nil"/>
              <w:bottom w:val="single" w:sz="4" w:space="0" w:color="auto"/>
              <w:right w:val="single" w:sz="4" w:space="0" w:color="auto"/>
            </w:tcBorders>
            <w:shd w:val="clear" w:color="auto" w:fill="auto"/>
            <w:vAlign w:val="center"/>
            <w:hideMark/>
          </w:tcPr>
          <w:p w:rsidR="00AB7461" w:rsidRPr="001A227F" w:rsidRDefault="00AB7461" w:rsidP="00AB7461">
            <w:pPr>
              <w:spacing w:after="0"/>
              <w:ind w:firstLine="0"/>
              <w:jc w:val="left"/>
              <w:rPr>
                <w:color w:val="000000"/>
                <w:sz w:val="20"/>
                <w:szCs w:val="20"/>
              </w:rPr>
            </w:pPr>
            <w:r w:rsidRPr="001A227F">
              <w:rPr>
                <w:color w:val="000000"/>
                <w:sz w:val="20"/>
                <w:szCs w:val="20"/>
              </w:rPr>
              <w:t>Becoming independent</w:t>
            </w:r>
          </w:p>
        </w:tc>
        <w:tc>
          <w:tcPr>
            <w:tcW w:w="242" w:type="pct"/>
            <w:tcBorders>
              <w:top w:val="nil"/>
              <w:left w:val="nil"/>
              <w:bottom w:val="single" w:sz="4" w:space="0" w:color="auto"/>
              <w:right w:val="single" w:sz="4" w:space="0" w:color="auto"/>
            </w:tcBorders>
            <w:shd w:val="clear" w:color="000000" w:fill="70AD47"/>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gridSpan w:val="2"/>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8"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r>
      <w:tr w:rsidR="00100F7D" w:rsidRPr="001A227F" w:rsidTr="00E4211C">
        <w:trPr>
          <w:trHeight w:val="530"/>
        </w:trPr>
        <w:tc>
          <w:tcPr>
            <w:tcW w:w="1386" w:type="pct"/>
            <w:gridSpan w:val="3"/>
            <w:tcBorders>
              <w:top w:val="nil"/>
              <w:left w:val="single" w:sz="8" w:space="0" w:color="auto"/>
              <w:bottom w:val="single" w:sz="4" w:space="0" w:color="auto"/>
              <w:right w:val="single" w:sz="4" w:space="0" w:color="auto"/>
            </w:tcBorders>
            <w:shd w:val="clear" w:color="auto" w:fill="auto"/>
            <w:vAlign w:val="center"/>
            <w:hideMark/>
          </w:tcPr>
          <w:p w:rsidR="00AB7461" w:rsidRPr="001A227F" w:rsidRDefault="00AB7461" w:rsidP="00AB7461">
            <w:pPr>
              <w:spacing w:after="0"/>
              <w:ind w:firstLine="0"/>
              <w:jc w:val="left"/>
              <w:rPr>
                <w:color w:val="000000"/>
                <w:sz w:val="20"/>
                <w:szCs w:val="20"/>
              </w:rPr>
            </w:pPr>
            <w:r w:rsidRPr="001A227F">
              <w:rPr>
                <w:color w:val="000000"/>
                <w:sz w:val="20"/>
                <w:szCs w:val="20"/>
              </w:rPr>
              <w:t>Student exchange</w:t>
            </w:r>
          </w:p>
        </w:tc>
        <w:tc>
          <w:tcPr>
            <w:tcW w:w="1285" w:type="pct"/>
            <w:gridSpan w:val="2"/>
            <w:tcBorders>
              <w:top w:val="nil"/>
              <w:left w:val="nil"/>
              <w:bottom w:val="single" w:sz="4" w:space="0" w:color="auto"/>
              <w:right w:val="single" w:sz="4" w:space="0" w:color="auto"/>
            </w:tcBorders>
            <w:shd w:val="clear" w:color="auto" w:fill="auto"/>
            <w:vAlign w:val="center"/>
            <w:hideMark/>
          </w:tcPr>
          <w:p w:rsidR="00AB7461" w:rsidRPr="001A227F" w:rsidRDefault="00AB7461" w:rsidP="00AB7461">
            <w:pPr>
              <w:spacing w:after="0"/>
              <w:jc w:val="left"/>
              <w:rPr>
                <w:color w:val="000000"/>
                <w:sz w:val="20"/>
                <w:szCs w:val="20"/>
              </w:rPr>
            </w:pPr>
            <w:r w:rsidRPr="001A227F">
              <w:rPr>
                <w:color w:val="000000"/>
                <w:sz w:val="20"/>
                <w:szCs w:val="20"/>
              </w:rPr>
              <w:t> </w:t>
            </w:r>
          </w:p>
        </w:tc>
        <w:tc>
          <w:tcPr>
            <w:tcW w:w="242" w:type="pct"/>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000000" w:fill="70AD47"/>
            <w:noWrap/>
            <w:vAlign w:val="bottom"/>
            <w:hideMark/>
          </w:tcPr>
          <w:p w:rsidR="00AB7461" w:rsidRPr="001A227F" w:rsidRDefault="00AB7461" w:rsidP="009465D8">
            <w:pPr>
              <w:spacing w:after="0"/>
              <w:rPr>
                <w:color w:val="000000"/>
              </w:rPr>
            </w:pPr>
            <w:r w:rsidRPr="001A227F">
              <w:rPr>
                <w:color w:val="000000"/>
              </w:rPr>
              <w:t> </w:t>
            </w:r>
          </w:p>
        </w:tc>
        <w:tc>
          <w:tcPr>
            <w:tcW w:w="348" w:type="pct"/>
            <w:gridSpan w:val="2"/>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8" w:space="0" w:color="auto"/>
            </w:tcBorders>
            <w:shd w:val="clear" w:color="000000" w:fill="70AD47"/>
            <w:noWrap/>
            <w:vAlign w:val="bottom"/>
            <w:hideMark/>
          </w:tcPr>
          <w:p w:rsidR="00AB7461" w:rsidRPr="001A227F" w:rsidRDefault="00AB7461" w:rsidP="009465D8">
            <w:pPr>
              <w:spacing w:after="0"/>
              <w:rPr>
                <w:color w:val="000000"/>
              </w:rPr>
            </w:pPr>
            <w:r w:rsidRPr="001A227F">
              <w:rPr>
                <w:color w:val="000000"/>
              </w:rPr>
              <w:t> </w:t>
            </w:r>
          </w:p>
        </w:tc>
      </w:tr>
      <w:tr w:rsidR="00100F7D" w:rsidRPr="001A227F" w:rsidTr="00E4211C">
        <w:trPr>
          <w:trHeight w:val="520"/>
        </w:trPr>
        <w:tc>
          <w:tcPr>
            <w:tcW w:w="1386" w:type="pct"/>
            <w:gridSpan w:val="3"/>
            <w:tcBorders>
              <w:top w:val="nil"/>
              <w:left w:val="single" w:sz="8" w:space="0" w:color="auto"/>
              <w:bottom w:val="single" w:sz="4" w:space="0" w:color="auto"/>
              <w:right w:val="single" w:sz="4" w:space="0" w:color="auto"/>
            </w:tcBorders>
            <w:shd w:val="clear" w:color="auto" w:fill="auto"/>
            <w:vAlign w:val="center"/>
            <w:hideMark/>
          </w:tcPr>
          <w:p w:rsidR="00AB7461" w:rsidRPr="001A227F" w:rsidRDefault="00AB7461" w:rsidP="00AB7461">
            <w:pPr>
              <w:spacing w:after="0"/>
              <w:ind w:firstLine="0"/>
              <w:jc w:val="left"/>
              <w:rPr>
                <w:color w:val="000000"/>
                <w:sz w:val="20"/>
                <w:szCs w:val="20"/>
              </w:rPr>
            </w:pPr>
            <w:r w:rsidRPr="001A227F">
              <w:rPr>
                <w:color w:val="000000"/>
                <w:sz w:val="20"/>
                <w:szCs w:val="20"/>
              </w:rPr>
              <w:t> </w:t>
            </w:r>
          </w:p>
        </w:tc>
        <w:tc>
          <w:tcPr>
            <w:tcW w:w="1285" w:type="pct"/>
            <w:gridSpan w:val="2"/>
            <w:tcBorders>
              <w:top w:val="nil"/>
              <w:left w:val="nil"/>
              <w:bottom w:val="single" w:sz="4" w:space="0" w:color="auto"/>
              <w:right w:val="single" w:sz="4" w:space="0" w:color="auto"/>
            </w:tcBorders>
            <w:shd w:val="clear" w:color="auto" w:fill="auto"/>
            <w:vAlign w:val="center"/>
            <w:hideMark/>
          </w:tcPr>
          <w:p w:rsidR="00AB7461" w:rsidRPr="001A227F" w:rsidRDefault="00AB7461" w:rsidP="00AB7461">
            <w:pPr>
              <w:spacing w:after="0"/>
              <w:ind w:firstLine="0"/>
              <w:jc w:val="left"/>
              <w:rPr>
                <w:color w:val="000000"/>
                <w:sz w:val="20"/>
                <w:szCs w:val="20"/>
              </w:rPr>
            </w:pPr>
            <w:r w:rsidRPr="001A227F">
              <w:rPr>
                <w:color w:val="000000"/>
                <w:sz w:val="20"/>
                <w:szCs w:val="20"/>
              </w:rPr>
              <w:t>Active participation in the creation of study programs</w:t>
            </w:r>
          </w:p>
        </w:tc>
        <w:tc>
          <w:tcPr>
            <w:tcW w:w="242" w:type="pct"/>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000000" w:fill="5B9BD5"/>
            <w:noWrap/>
            <w:vAlign w:val="bottom"/>
            <w:hideMark/>
          </w:tcPr>
          <w:p w:rsidR="00AB7461" w:rsidRPr="001A227F" w:rsidRDefault="00AB7461" w:rsidP="009465D8">
            <w:pPr>
              <w:spacing w:after="0"/>
              <w:rPr>
                <w:color w:val="000000"/>
              </w:rPr>
            </w:pPr>
            <w:r w:rsidRPr="001A227F">
              <w:rPr>
                <w:color w:val="000000"/>
              </w:rPr>
              <w:t> </w:t>
            </w:r>
          </w:p>
        </w:tc>
        <w:tc>
          <w:tcPr>
            <w:tcW w:w="348" w:type="pct"/>
            <w:gridSpan w:val="2"/>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000000" w:fill="5B9BD5"/>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8"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r>
      <w:tr w:rsidR="00100F7D" w:rsidRPr="001A227F" w:rsidTr="00E4211C">
        <w:trPr>
          <w:trHeight w:val="520"/>
        </w:trPr>
        <w:tc>
          <w:tcPr>
            <w:tcW w:w="1386" w:type="pct"/>
            <w:gridSpan w:val="3"/>
            <w:tcBorders>
              <w:top w:val="nil"/>
              <w:left w:val="single" w:sz="8" w:space="0" w:color="auto"/>
              <w:bottom w:val="single" w:sz="4" w:space="0" w:color="auto"/>
              <w:right w:val="single" w:sz="4" w:space="0" w:color="auto"/>
            </w:tcBorders>
            <w:shd w:val="clear" w:color="auto" w:fill="auto"/>
            <w:vAlign w:val="center"/>
            <w:hideMark/>
          </w:tcPr>
          <w:p w:rsidR="00AB7461" w:rsidRPr="001A227F" w:rsidRDefault="00AB7461" w:rsidP="00AB7461">
            <w:pPr>
              <w:spacing w:after="0"/>
              <w:ind w:firstLine="0"/>
              <w:jc w:val="left"/>
              <w:rPr>
                <w:color w:val="000000"/>
                <w:sz w:val="20"/>
                <w:szCs w:val="20"/>
              </w:rPr>
            </w:pPr>
            <w:r w:rsidRPr="001A227F">
              <w:rPr>
                <w:color w:val="000000"/>
                <w:sz w:val="20"/>
                <w:szCs w:val="20"/>
              </w:rPr>
              <w:t>More scholarships for advanced students</w:t>
            </w:r>
          </w:p>
        </w:tc>
        <w:tc>
          <w:tcPr>
            <w:tcW w:w="1285" w:type="pct"/>
            <w:gridSpan w:val="2"/>
            <w:tcBorders>
              <w:top w:val="nil"/>
              <w:left w:val="nil"/>
              <w:bottom w:val="single" w:sz="4" w:space="0" w:color="auto"/>
              <w:right w:val="single" w:sz="4" w:space="0" w:color="auto"/>
            </w:tcBorders>
            <w:shd w:val="clear" w:color="auto" w:fill="auto"/>
            <w:vAlign w:val="center"/>
            <w:hideMark/>
          </w:tcPr>
          <w:p w:rsidR="00AB7461" w:rsidRPr="001A227F" w:rsidRDefault="00AB7461" w:rsidP="00AB7461">
            <w:pPr>
              <w:spacing w:after="0"/>
              <w:jc w:val="left"/>
              <w:rPr>
                <w:color w:val="000000"/>
                <w:sz w:val="20"/>
                <w:szCs w:val="20"/>
              </w:rPr>
            </w:pPr>
            <w:r w:rsidRPr="001A227F">
              <w:rPr>
                <w:color w:val="000000"/>
                <w:sz w:val="20"/>
                <w:szCs w:val="20"/>
              </w:rPr>
              <w:t> </w:t>
            </w:r>
          </w:p>
        </w:tc>
        <w:tc>
          <w:tcPr>
            <w:tcW w:w="242" w:type="pct"/>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000000" w:fill="5B9BD5"/>
            <w:noWrap/>
            <w:vAlign w:val="bottom"/>
            <w:hideMark/>
          </w:tcPr>
          <w:p w:rsidR="00AB7461" w:rsidRPr="001A227F" w:rsidRDefault="00AB7461" w:rsidP="009465D8">
            <w:pPr>
              <w:spacing w:after="0"/>
              <w:rPr>
                <w:color w:val="000000"/>
              </w:rPr>
            </w:pPr>
            <w:r w:rsidRPr="001A227F">
              <w:rPr>
                <w:color w:val="000000"/>
              </w:rPr>
              <w:t> </w:t>
            </w:r>
          </w:p>
        </w:tc>
        <w:tc>
          <w:tcPr>
            <w:tcW w:w="348" w:type="pct"/>
            <w:gridSpan w:val="2"/>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000000" w:fill="5B9BD5"/>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000000" w:fill="5B9BD5"/>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8"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r>
      <w:tr w:rsidR="00100F7D" w:rsidRPr="001A227F" w:rsidTr="00E4211C">
        <w:trPr>
          <w:trHeight w:val="520"/>
        </w:trPr>
        <w:tc>
          <w:tcPr>
            <w:tcW w:w="1386" w:type="pct"/>
            <w:gridSpan w:val="3"/>
            <w:tcBorders>
              <w:top w:val="nil"/>
              <w:left w:val="single" w:sz="8" w:space="0" w:color="auto"/>
              <w:bottom w:val="single" w:sz="4" w:space="0" w:color="auto"/>
              <w:right w:val="single" w:sz="4" w:space="0" w:color="auto"/>
            </w:tcBorders>
            <w:shd w:val="clear" w:color="auto" w:fill="auto"/>
            <w:vAlign w:val="center"/>
            <w:hideMark/>
          </w:tcPr>
          <w:p w:rsidR="00AB7461" w:rsidRPr="001A227F" w:rsidRDefault="00AB7461" w:rsidP="00AB7461">
            <w:pPr>
              <w:spacing w:after="0"/>
              <w:ind w:firstLine="0"/>
              <w:jc w:val="left"/>
              <w:rPr>
                <w:color w:val="000000"/>
                <w:sz w:val="20"/>
                <w:szCs w:val="20"/>
              </w:rPr>
            </w:pPr>
            <w:r w:rsidRPr="001A227F">
              <w:rPr>
                <w:color w:val="000000"/>
                <w:sz w:val="20"/>
                <w:szCs w:val="20"/>
              </w:rPr>
              <w:t>Contemporary learning methods</w:t>
            </w:r>
          </w:p>
        </w:tc>
        <w:tc>
          <w:tcPr>
            <w:tcW w:w="1285" w:type="pct"/>
            <w:gridSpan w:val="2"/>
            <w:tcBorders>
              <w:top w:val="nil"/>
              <w:left w:val="nil"/>
              <w:bottom w:val="single" w:sz="4" w:space="0" w:color="auto"/>
              <w:right w:val="single" w:sz="4" w:space="0" w:color="auto"/>
            </w:tcBorders>
            <w:shd w:val="clear" w:color="auto" w:fill="auto"/>
            <w:vAlign w:val="center"/>
            <w:hideMark/>
          </w:tcPr>
          <w:p w:rsidR="00AB7461" w:rsidRPr="001A227F" w:rsidRDefault="00AB7461" w:rsidP="00AB7461">
            <w:pPr>
              <w:spacing w:after="0"/>
              <w:jc w:val="left"/>
              <w:rPr>
                <w:color w:val="000000"/>
                <w:sz w:val="20"/>
                <w:szCs w:val="20"/>
              </w:rPr>
            </w:pPr>
            <w:r w:rsidRPr="001A227F">
              <w:rPr>
                <w:color w:val="000000"/>
                <w:sz w:val="20"/>
                <w:szCs w:val="20"/>
              </w:rPr>
              <w:t> </w:t>
            </w:r>
          </w:p>
        </w:tc>
        <w:tc>
          <w:tcPr>
            <w:tcW w:w="242" w:type="pct"/>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000000" w:fill="5B9BD5"/>
            <w:noWrap/>
            <w:vAlign w:val="bottom"/>
            <w:hideMark/>
          </w:tcPr>
          <w:p w:rsidR="00AB7461" w:rsidRPr="001A227F" w:rsidRDefault="00AB7461" w:rsidP="009465D8">
            <w:pPr>
              <w:spacing w:after="0"/>
              <w:rPr>
                <w:color w:val="000000"/>
              </w:rPr>
            </w:pPr>
            <w:r w:rsidRPr="001A227F">
              <w:rPr>
                <w:color w:val="000000"/>
              </w:rPr>
              <w:t> </w:t>
            </w:r>
          </w:p>
        </w:tc>
        <w:tc>
          <w:tcPr>
            <w:tcW w:w="348" w:type="pct"/>
            <w:gridSpan w:val="2"/>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8"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r>
      <w:tr w:rsidR="00100F7D" w:rsidRPr="001A227F" w:rsidTr="00E4211C">
        <w:trPr>
          <w:trHeight w:val="520"/>
        </w:trPr>
        <w:tc>
          <w:tcPr>
            <w:tcW w:w="1386" w:type="pct"/>
            <w:gridSpan w:val="3"/>
            <w:tcBorders>
              <w:top w:val="nil"/>
              <w:left w:val="single" w:sz="8" w:space="0" w:color="auto"/>
              <w:bottom w:val="single" w:sz="4" w:space="0" w:color="auto"/>
              <w:right w:val="single" w:sz="4" w:space="0" w:color="auto"/>
            </w:tcBorders>
            <w:shd w:val="clear" w:color="auto" w:fill="auto"/>
            <w:vAlign w:val="center"/>
            <w:hideMark/>
          </w:tcPr>
          <w:p w:rsidR="00AB7461" w:rsidRPr="001A227F" w:rsidRDefault="00AB7461" w:rsidP="00AB7461">
            <w:pPr>
              <w:spacing w:after="0"/>
              <w:ind w:firstLine="0"/>
              <w:jc w:val="left"/>
              <w:rPr>
                <w:color w:val="000000"/>
                <w:sz w:val="20"/>
                <w:szCs w:val="20"/>
              </w:rPr>
            </w:pPr>
            <w:r w:rsidRPr="001A227F">
              <w:rPr>
                <w:color w:val="000000"/>
                <w:sz w:val="20"/>
                <w:szCs w:val="20"/>
              </w:rPr>
              <w:t>Opportunity to access contemporary literature</w:t>
            </w:r>
          </w:p>
        </w:tc>
        <w:tc>
          <w:tcPr>
            <w:tcW w:w="1285" w:type="pct"/>
            <w:gridSpan w:val="2"/>
            <w:tcBorders>
              <w:top w:val="nil"/>
              <w:left w:val="nil"/>
              <w:bottom w:val="single" w:sz="4" w:space="0" w:color="auto"/>
              <w:right w:val="single" w:sz="4" w:space="0" w:color="auto"/>
            </w:tcBorders>
            <w:shd w:val="clear" w:color="auto" w:fill="auto"/>
            <w:vAlign w:val="center"/>
            <w:hideMark/>
          </w:tcPr>
          <w:p w:rsidR="00AB7461" w:rsidRPr="001A227F" w:rsidRDefault="00AB7461" w:rsidP="00AB7461">
            <w:pPr>
              <w:spacing w:after="0"/>
              <w:jc w:val="left"/>
              <w:rPr>
                <w:color w:val="000000"/>
                <w:sz w:val="20"/>
                <w:szCs w:val="20"/>
              </w:rPr>
            </w:pPr>
            <w:r w:rsidRPr="001A227F">
              <w:rPr>
                <w:color w:val="000000"/>
                <w:sz w:val="20"/>
                <w:szCs w:val="20"/>
              </w:rPr>
              <w:t> </w:t>
            </w:r>
          </w:p>
        </w:tc>
        <w:tc>
          <w:tcPr>
            <w:tcW w:w="242" w:type="pct"/>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000000" w:fill="5B9BD5"/>
            <w:noWrap/>
            <w:vAlign w:val="bottom"/>
            <w:hideMark/>
          </w:tcPr>
          <w:p w:rsidR="00AB7461" w:rsidRPr="001A227F" w:rsidRDefault="00AB7461" w:rsidP="009465D8">
            <w:pPr>
              <w:spacing w:after="0"/>
              <w:rPr>
                <w:color w:val="000000"/>
              </w:rPr>
            </w:pPr>
            <w:r w:rsidRPr="001A227F">
              <w:rPr>
                <w:color w:val="000000"/>
              </w:rPr>
              <w:t> </w:t>
            </w:r>
          </w:p>
        </w:tc>
        <w:tc>
          <w:tcPr>
            <w:tcW w:w="348" w:type="pct"/>
            <w:gridSpan w:val="2"/>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8"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r>
      <w:tr w:rsidR="00100F7D" w:rsidRPr="001A227F" w:rsidTr="00E4211C">
        <w:trPr>
          <w:trHeight w:val="520"/>
        </w:trPr>
        <w:tc>
          <w:tcPr>
            <w:tcW w:w="1386" w:type="pct"/>
            <w:gridSpan w:val="3"/>
            <w:tcBorders>
              <w:top w:val="nil"/>
              <w:left w:val="single" w:sz="8" w:space="0" w:color="auto"/>
              <w:bottom w:val="single" w:sz="4" w:space="0" w:color="auto"/>
              <w:right w:val="single" w:sz="4" w:space="0" w:color="auto"/>
            </w:tcBorders>
            <w:shd w:val="clear" w:color="auto" w:fill="auto"/>
            <w:vAlign w:val="center"/>
            <w:hideMark/>
          </w:tcPr>
          <w:p w:rsidR="00AB7461" w:rsidRPr="001A227F" w:rsidRDefault="00AB7461" w:rsidP="009465D8">
            <w:pPr>
              <w:spacing w:after="0"/>
              <w:rPr>
                <w:color w:val="000000"/>
                <w:sz w:val="20"/>
                <w:szCs w:val="20"/>
              </w:rPr>
            </w:pPr>
            <w:r w:rsidRPr="001A227F">
              <w:rPr>
                <w:color w:val="000000"/>
                <w:sz w:val="20"/>
                <w:szCs w:val="20"/>
              </w:rPr>
              <w:t> </w:t>
            </w:r>
          </w:p>
        </w:tc>
        <w:tc>
          <w:tcPr>
            <w:tcW w:w="1285" w:type="pct"/>
            <w:gridSpan w:val="2"/>
            <w:tcBorders>
              <w:top w:val="nil"/>
              <w:left w:val="nil"/>
              <w:bottom w:val="single" w:sz="4" w:space="0" w:color="auto"/>
              <w:right w:val="single" w:sz="4" w:space="0" w:color="auto"/>
            </w:tcBorders>
            <w:shd w:val="clear" w:color="auto" w:fill="auto"/>
            <w:vAlign w:val="center"/>
            <w:hideMark/>
          </w:tcPr>
          <w:p w:rsidR="00AB7461" w:rsidRPr="001A227F" w:rsidRDefault="00AB7461" w:rsidP="00AB7461">
            <w:pPr>
              <w:spacing w:after="0"/>
              <w:ind w:firstLine="0"/>
              <w:jc w:val="left"/>
              <w:rPr>
                <w:color w:val="000000"/>
                <w:sz w:val="20"/>
                <w:szCs w:val="20"/>
              </w:rPr>
            </w:pPr>
            <w:r w:rsidRPr="001A227F">
              <w:rPr>
                <w:color w:val="000000"/>
                <w:sz w:val="20"/>
                <w:szCs w:val="20"/>
              </w:rPr>
              <w:t>Better attitude of society towards knowledge</w:t>
            </w:r>
          </w:p>
        </w:tc>
        <w:tc>
          <w:tcPr>
            <w:tcW w:w="242" w:type="pct"/>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gridSpan w:val="2"/>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000000" w:fill="5B9BD5"/>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000000" w:fill="5B9BD5"/>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8"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r>
      <w:tr w:rsidR="00100F7D" w:rsidRPr="001A227F" w:rsidTr="00E4211C">
        <w:trPr>
          <w:trHeight w:val="520"/>
        </w:trPr>
        <w:tc>
          <w:tcPr>
            <w:tcW w:w="1386" w:type="pct"/>
            <w:gridSpan w:val="3"/>
            <w:tcBorders>
              <w:top w:val="nil"/>
              <w:left w:val="single" w:sz="8" w:space="0" w:color="auto"/>
              <w:bottom w:val="single" w:sz="4" w:space="0" w:color="auto"/>
              <w:right w:val="single" w:sz="4" w:space="0" w:color="auto"/>
            </w:tcBorders>
            <w:shd w:val="clear" w:color="auto" w:fill="auto"/>
            <w:vAlign w:val="center"/>
            <w:hideMark/>
          </w:tcPr>
          <w:p w:rsidR="00AB7461" w:rsidRPr="001A227F" w:rsidRDefault="00AB7461" w:rsidP="009465D8">
            <w:pPr>
              <w:spacing w:after="0"/>
              <w:rPr>
                <w:color w:val="000000"/>
                <w:sz w:val="20"/>
                <w:szCs w:val="20"/>
              </w:rPr>
            </w:pPr>
            <w:r w:rsidRPr="001A227F">
              <w:rPr>
                <w:color w:val="000000"/>
                <w:sz w:val="20"/>
                <w:szCs w:val="20"/>
              </w:rPr>
              <w:t> </w:t>
            </w:r>
          </w:p>
        </w:tc>
        <w:tc>
          <w:tcPr>
            <w:tcW w:w="1285" w:type="pct"/>
            <w:gridSpan w:val="2"/>
            <w:tcBorders>
              <w:top w:val="nil"/>
              <w:left w:val="nil"/>
              <w:bottom w:val="single" w:sz="4" w:space="0" w:color="auto"/>
              <w:right w:val="single" w:sz="4" w:space="0" w:color="auto"/>
            </w:tcBorders>
            <w:shd w:val="clear" w:color="auto" w:fill="auto"/>
            <w:vAlign w:val="center"/>
            <w:hideMark/>
          </w:tcPr>
          <w:p w:rsidR="00AB7461" w:rsidRPr="001A227F" w:rsidRDefault="00AB7461" w:rsidP="00AB7461">
            <w:pPr>
              <w:spacing w:after="0"/>
              <w:ind w:firstLine="0"/>
              <w:jc w:val="left"/>
              <w:rPr>
                <w:color w:val="000000"/>
                <w:sz w:val="20"/>
                <w:szCs w:val="20"/>
              </w:rPr>
            </w:pPr>
            <w:r w:rsidRPr="001A227F">
              <w:rPr>
                <w:color w:val="000000"/>
                <w:sz w:val="20"/>
                <w:szCs w:val="20"/>
              </w:rPr>
              <w:t>Transparent employment criteria</w:t>
            </w:r>
          </w:p>
        </w:tc>
        <w:tc>
          <w:tcPr>
            <w:tcW w:w="242" w:type="pct"/>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gridSpan w:val="2"/>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000000" w:fill="5B9BD5"/>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8"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r>
      <w:tr w:rsidR="00100F7D" w:rsidRPr="001A227F" w:rsidTr="00E4211C">
        <w:trPr>
          <w:trHeight w:val="520"/>
        </w:trPr>
        <w:tc>
          <w:tcPr>
            <w:tcW w:w="1386" w:type="pct"/>
            <w:gridSpan w:val="3"/>
            <w:tcBorders>
              <w:top w:val="nil"/>
              <w:left w:val="single" w:sz="8" w:space="0" w:color="auto"/>
              <w:bottom w:val="single" w:sz="4" w:space="0" w:color="auto"/>
              <w:right w:val="single" w:sz="4" w:space="0" w:color="auto"/>
            </w:tcBorders>
            <w:shd w:val="clear" w:color="auto" w:fill="auto"/>
            <w:vAlign w:val="center"/>
            <w:hideMark/>
          </w:tcPr>
          <w:p w:rsidR="00AB7461" w:rsidRPr="001A227F" w:rsidRDefault="00AB7461" w:rsidP="009465D8">
            <w:pPr>
              <w:spacing w:after="0"/>
              <w:rPr>
                <w:color w:val="000000"/>
                <w:sz w:val="20"/>
                <w:szCs w:val="20"/>
              </w:rPr>
            </w:pPr>
            <w:r w:rsidRPr="001A227F">
              <w:rPr>
                <w:color w:val="000000"/>
                <w:sz w:val="20"/>
                <w:szCs w:val="20"/>
              </w:rPr>
              <w:t> </w:t>
            </w:r>
          </w:p>
        </w:tc>
        <w:tc>
          <w:tcPr>
            <w:tcW w:w="1285" w:type="pct"/>
            <w:gridSpan w:val="2"/>
            <w:tcBorders>
              <w:top w:val="nil"/>
              <w:left w:val="nil"/>
              <w:bottom w:val="single" w:sz="4" w:space="0" w:color="auto"/>
              <w:right w:val="single" w:sz="4" w:space="0" w:color="auto"/>
            </w:tcBorders>
            <w:shd w:val="clear" w:color="auto" w:fill="auto"/>
            <w:vAlign w:val="center"/>
            <w:hideMark/>
          </w:tcPr>
          <w:p w:rsidR="00AB7461" w:rsidRPr="001A227F" w:rsidRDefault="00AB7461" w:rsidP="00AB7461">
            <w:pPr>
              <w:spacing w:after="0"/>
              <w:ind w:firstLine="0"/>
              <w:jc w:val="left"/>
              <w:rPr>
                <w:color w:val="000000"/>
                <w:sz w:val="20"/>
                <w:szCs w:val="20"/>
              </w:rPr>
            </w:pPr>
            <w:r w:rsidRPr="001A227F">
              <w:rPr>
                <w:color w:val="000000"/>
                <w:sz w:val="20"/>
                <w:szCs w:val="20"/>
              </w:rPr>
              <w:t>Continued economic crisis due to transition</w:t>
            </w:r>
          </w:p>
        </w:tc>
        <w:tc>
          <w:tcPr>
            <w:tcW w:w="242" w:type="pct"/>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gridSpan w:val="2"/>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4" w:space="0" w:color="auto"/>
            </w:tcBorders>
            <w:shd w:val="clear" w:color="000000" w:fill="FF00FF"/>
            <w:noWrap/>
            <w:vAlign w:val="bottom"/>
            <w:hideMark/>
          </w:tcPr>
          <w:p w:rsidR="00AB7461" w:rsidRPr="001A227F" w:rsidRDefault="00AB7461" w:rsidP="009465D8">
            <w:pPr>
              <w:spacing w:after="0"/>
              <w:rPr>
                <w:color w:val="FF00FF"/>
              </w:rPr>
            </w:pPr>
            <w:r w:rsidRPr="001A227F">
              <w:rPr>
                <w:color w:val="FF00FF"/>
              </w:rPr>
              <w:t> </w:t>
            </w:r>
          </w:p>
        </w:tc>
        <w:tc>
          <w:tcPr>
            <w:tcW w:w="348" w:type="pct"/>
            <w:tcBorders>
              <w:top w:val="nil"/>
              <w:left w:val="nil"/>
              <w:bottom w:val="single" w:sz="4"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4" w:space="0" w:color="auto"/>
              <w:right w:val="single" w:sz="8"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r>
      <w:tr w:rsidR="00100F7D" w:rsidRPr="001A227F" w:rsidTr="00E4211C">
        <w:trPr>
          <w:trHeight w:val="530"/>
        </w:trPr>
        <w:tc>
          <w:tcPr>
            <w:tcW w:w="1386" w:type="pct"/>
            <w:gridSpan w:val="3"/>
            <w:tcBorders>
              <w:top w:val="nil"/>
              <w:left w:val="single" w:sz="8" w:space="0" w:color="auto"/>
              <w:bottom w:val="single" w:sz="8" w:space="0" w:color="auto"/>
              <w:right w:val="single" w:sz="4" w:space="0" w:color="auto"/>
            </w:tcBorders>
            <w:shd w:val="clear" w:color="auto" w:fill="auto"/>
            <w:vAlign w:val="center"/>
            <w:hideMark/>
          </w:tcPr>
          <w:p w:rsidR="00AB7461" w:rsidRPr="001A227F" w:rsidRDefault="00AB7461" w:rsidP="009465D8">
            <w:pPr>
              <w:spacing w:after="0"/>
              <w:rPr>
                <w:color w:val="000000"/>
                <w:sz w:val="20"/>
                <w:szCs w:val="20"/>
              </w:rPr>
            </w:pPr>
            <w:r w:rsidRPr="001A227F">
              <w:rPr>
                <w:color w:val="000000"/>
                <w:sz w:val="20"/>
                <w:szCs w:val="20"/>
              </w:rPr>
              <w:t> </w:t>
            </w:r>
          </w:p>
        </w:tc>
        <w:tc>
          <w:tcPr>
            <w:tcW w:w="1285" w:type="pct"/>
            <w:gridSpan w:val="2"/>
            <w:tcBorders>
              <w:top w:val="nil"/>
              <w:left w:val="nil"/>
              <w:bottom w:val="single" w:sz="8" w:space="0" w:color="auto"/>
              <w:right w:val="single" w:sz="4" w:space="0" w:color="auto"/>
            </w:tcBorders>
            <w:shd w:val="clear" w:color="auto" w:fill="auto"/>
            <w:vAlign w:val="center"/>
            <w:hideMark/>
          </w:tcPr>
          <w:p w:rsidR="00AB7461" w:rsidRPr="001A227F" w:rsidRDefault="00AB7461" w:rsidP="00AB7461">
            <w:pPr>
              <w:spacing w:after="0"/>
              <w:ind w:firstLine="0"/>
              <w:jc w:val="left"/>
              <w:rPr>
                <w:color w:val="000000"/>
                <w:sz w:val="20"/>
                <w:szCs w:val="20"/>
              </w:rPr>
            </w:pPr>
            <w:r w:rsidRPr="001A227F">
              <w:rPr>
                <w:color w:val="000000"/>
                <w:sz w:val="20"/>
                <w:szCs w:val="20"/>
              </w:rPr>
              <w:t>Expensive books</w:t>
            </w:r>
          </w:p>
        </w:tc>
        <w:tc>
          <w:tcPr>
            <w:tcW w:w="242" w:type="pct"/>
            <w:tcBorders>
              <w:top w:val="nil"/>
              <w:left w:val="nil"/>
              <w:bottom w:val="single" w:sz="8"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8" w:space="0" w:color="auto"/>
              <w:right w:val="single" w:sz="4" w:space="0" w:color="auto"/>
            </w:tcBorders>
            <w:shd w:val="clear" w:color="000000" w:fill="FF00FF"/>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8" w:space="0" w:color="auto"/>
              <w:right w:val="single" w:sz="4" w:space="0" w:color="auto"/>
            </w:tcBorders>
            <w:shd w:val="clear" w:color="000000" w:fill="FF00FF"/>
            <w:noWrap/>
            <w:vAlign w:val="bottom"/>
            <w:hideMark/>
          </w:tcPr>
          <w:p w:rsidR="00AB7461" w:rsidRPr="001A227F" w:rsidRDefault="00AB7461" w:rsidP="009465D8">
            <w:pPr>
              <w:spacing w:after="0"/>
              <w:rPr>
                <w:color w:val="000000"/>
              </w:rPr>
            </w:pPr>
            <w:r w:rsidRPr="001A227F">
              <w:rPr>
                <w:color w:val="000000"/>
              </w:rPr>
              <w:t> </w:t>
            </w:r>
          </w:p>
        </w:tc>
        <w:tc>
          <w:tcPr>
            <w:tcW w:w="348" w:type="pct"/>
            <w:gridSpan w:val="2"/>
            <w:tcBorders>
              <w:top w:val="nil"/>
              <w:left w:val="nil"/>
              <w:bottom w:val="single" w:sz="8"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8"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8" w:space="0" w:color="auto"/>
              <w:right w:val="single" w:sz="4"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c>
          <w:tcPr>
            <w:tcW w:w="348" w:type="pct"/>
            <w:tcBorders>
              <w:top w:val="nil"/>
              <w:left w:val="nil"/>
              <w:bottom w:val="single" w:sz="8" w:space="0" w:color="auto"/>
              <w:right w:val="single" w:sz="8" w:space="0" w:color="auto"/>
            </w:tcBorders>
            <w:shd w:val="clear" w:color="auto" w:fill="auto"/>
            <w:noWrap/>
            <w:vAlign w:val="bottom"/>
            <w:hideMark/>
          </w:tcPr>
          <w:p w:rsidR="00AB7461" w:rsidRPr="001A227F" w:rsidRDefault="00AB7461" w:rsidP="009465D8">
            <w:pPr>
              <w:spacing w:after="0"/>
              <w:rPr>
                <w:color w:val="000000"/>
              </w:rPr>
            </w:pPr>
            <w:r w:rsidRPr="001A227F">
              <w:rPr>
                <w:color w:val="000000"/>
              </w:rPr>
              <w:t> </w:t>
            </w:r>
          </w:p>
        </w:tc>
      </w:tr>
      <w:tr w:rsidR="00933287" w:rsidRPr="001A227F" w:rsidTr="00E4211C">
        <w:trPr>
          <w:gridAfter w:val="4"/>
          <w:wAfter w:w="1248" w:type="pct"/>
          <w:trHeight w:val="290"/>
        </w:trPr>
        <w:tc>
          <w:tcPr>
            <w:tcW w:w="303" w:type="pct"/>
            <w:tcBorders>
              <w:top w:val="nil"/>
              <w:left w:val="nil"/>
              <w:bottom w:val="nil"/>
              <w:right w:val="nil"/>
            </w:tcBorders>
            <w:shd w:val="clear" w:color="000000" w:fill="00B050"/>
            <w:noWrap/>
            <w:vAlign w:val="bottom"/>
            <w:hideMark/>
          </w:tcPr>
          <w:p w:rsidR="00AB7461" w:rsidRPr="001A227F" w:rsidRDefault="00AB7461" w:rsidP="009465D8">
            <w:pPr>
              <w:spacing w:after="0"/>
              <w:ind w:firstLine="306"/>
              <w:rPr>
                <w:color w:val="000000"/>
              </w:rPr>
            </w:pPr>
            <w:r w:rsidRPr="001A227F">
              <w:rPr>
                <w:color w:val="000000"/>
              </w:rPr>
              <w:t> </w:t>
            </w:r>
          </w:p>
        </w:tc>
        <w:tc>
          <w:tcPr>
            <w:tcW w:w="891" w:type="pct"/>
            <w:tcBorders>
              <w:top w:val="nil"/>
              <w:left w:val="nil"/>
              <w:bottom w:val="nil"/>
              <w:right w:val="nil"/>
            </w:tcBorders>
            <w:shd w:val="clear" w:color="auto" w:fill="auto"/>
            <w:noWrap/>
            <w:vAlign w:val="bottom"/>
            <w:hideMark/>
          </w:tcPr>
          <w:p w:rsidR="00AB7461" w:rsidRPr="001A227F" w:rsidRDefault="00E4211C" w:rsidP="00AB7461">
            <w:pPr>
              <w:spacing w:after="0"/>
              <w:ind w:hanging="6"/>
              <w:jc w:val="center"/>
              <w:rPr>
                <w:color w:val="000000"/>
                <w:sz w:val="20"/>
                <w:szCs w:val="18"/>
              </w:rPr>
            </w:pPr>
            <w:r>
              <w:rPr>
                <w:color w:val="000000"/>
                <w:sz w:val="20"/>
                <w:szCs w:val="18"/>
              </w:rPr>
              <w:t xml:space="preserve">Curent </w:t>
            </w:r>
            <w:r w:rsidR="00AB7461" w:rsidRPr="001A227F">
              <w:rPr>
                <w:color w:val="000000"/>
                <w:sz w:val="20"/>
                <w:szCs w:val="18"/>
              </w:rPr>
              <w:t>motivators</w:t>
            </w:r>
          </w:p>
        </w:tc>
        <w:tc>
          <w:tcPr>
            <w:tcW w:w="191" w:type="pct"/>
            <w:tcBorders>
              <w:top w:val="nil"/>
              <w:left w:val="nil"/>
              <w:bottom w:val="nil"/>
              <w:right w:val="nil"/>
            </w:tcBorders>
            <w:shd w:val="clear" w:color="000000" w:fill="5B9BD5"/>
            <w:noWrap/>
            <w:vAlign w:val="bottom"/>
            <w:hideMark/>
          </w:tcPr>
          <w:p w:rsidR="00AB7461" w:rsidRPr="001A227F" w:rsidRDefault="00AB7461" w:rsidP="00AB7461">
            <w:pPr>
              <w:spacing w:after="0"/>
              <w:ind w:hanging="6"/>
              <w:rPr>
                <w:color w:val="000000"/>
                <w:sz w:val="20"/>
                <w:szCs w:val="18"/>
              </w:rPr>
            </w:pPr>
            <w:r w:rsidRPr="001A227F">
              <w:rPr>
                <w:color w:val="000000"/>
                <w:sz w:val="20"/>
                <w:szCs w:val="18"/>
              </w:rPr>
              <w:t> </w:t>
            </w:r>
          </w:p>
        </w:tc>
        <w:tc>
          <w:tcPr>
            <w:tcW w:w="974" w:type="pct"/>
            <w:tcBorders>
              <w:top w:val="nil"/>
              <w:left w:val="nil"/>
              <w:bottom w:val="nil"/>
              <w:right w:val="nil"/>
            </w:tcBorders>
            <w:shd w:val="clear" w:color="auto" w:fill="auto"/>
            <w:noWrap/>
            <w:vAlign w:val="bottom"/>
            <w:hideMark/>
          </w:tcPr>
          <w:p w:rsidR="00AB7461" w:rsidRPr="001A227F" w:rsidRDefault="00AB7461" w:rsidP="00AB7461">
            <w:pPr>
              <w:spacing w:after="0"/>
              <w:ind w:hanging="6"/>
              <w:jc w:val="center"/>
              <w:rPr>
                <w:color w:val="000000"/>
                <w:sz w:val="20"/>
                <w:szCs w:val="18"/>
              </w:rPr>
            </w:pPr>
            <w:r w:rsidRPr="001A227F">
              <w:rPr>
                <w:color w:val="000000"/>
                <w:sz w:val="20"/>
                <w:szCs w:val="18"/>
              </w:rPr>
              <w:t>Potential motivators</w:t>
            </w:r>
          </w:p>
        </w:tc>
        <w:tc>
          <w:tcPr>
            <w:tcW w:w="191" w:type="pct"/>
            <w:tcBorders>
              <w:top w:val="nil"/>
              <w:left w:val="nil"/>
              <w:bottom w:val="nil"/>
              <w:right w:val="nil"/>
            </w:tcBorders>
            <w:shd w:val="clear" w:color="000000" w:fill="FF00FF"/>
            <w:noWrap/>
            <w:vAlign w:val="bottom"/>
            <w:hideMark/>
          </w:tcPr>
          <w:p w:rsidR="00AB7461" w:rsidRPr="001A227F" w:rsidRDefault="00AB7461" w:rsidP="00AB7461">
            <w:pPr>
              <w:spacing w:after="0"/>
              <w:ind w:hanging="6"/>
              <w:rPr>
                <w:color w:val="000000"/>
                <w:sz w:val="20"/>
                <w:szCs w:val="18"/>
              </w:rPr>
            </w:pPr>
            <w:r w:rsidRPr="001A227F">
              <w:rPr>
                <w:color w:val="000000"/>
                <w:sz w:val="20"/>
                <w:szCs w:val="18"/>
              </w:rPr>
              <w:t> </w:t>
            </w:r>
          </w:p>
        </w:tc>
        <w:tc>
          <w:tcPr>
            <w:tcW w:w="1201" w:type="pct"/>
            <w:gridSpan w:val="4"/>
            <w:tcBorders>
              <w:top w:val="nil"/>
              <w:left w:val="nil"/>
              <w:bottom w:val="nil"/>
              <w:right w:val="nil"/>
            </w:tcBorders>
            <w:shd w:val="clear" w:color="auto" w:fill="auto"/>
            <w:noWrap/>
            <w:vAlign w:val="center"/>
            <w:hideMark/>
          </w:tcPr>
          <w:p w:rsidR="00E4211C" w:rsidRDefault="00AB7461" w:rsidP="00100F7D">
            <w:pPr>
              <w:spacing w:after="0"/>
              <w:ind w:left="6" w:hanging="6"/>
              <w:jc w:val="center"/>
              <w:rPr>
                <w:color w:val="000000"/>
                <w:sz w:val="20"/>
                <w:szCs w:val="18"/>
              </w:rPr>
            </w:pPr>
            <w:r w:rsidRPr="001A227F">
              <w:rPr>
                <w:color w:val="000000"/>
                <w:sz w:val="20"/>
                <w:szCs w:val="18"/>
              </w:rPr>
              <w:t>Potential</w:t>
            </w:r>
          </w:p>
          <w:p w:rsidR="00AB7461" w:rsidRPr="001A227F" w:rsidRDefault="00AB7461" w:rsidP="00100F7D">
            <w:pPr>
              <w:spacing w:after="0"/>
              <w:ind w:left="6" w:hanging="6"/>
              <w:jc w:val="center"/>
              <w:rPr>
                <w:color w:val="000000"/>
                <w:sz w:val="20"/>
                <w:szCs w:val="18"/>
              </w:rPr>
            </w:pPr>
            <w:r w:rsidRPr="001A227F">
              <w:rPr>
                <w:color w:val="000000"/>
                <w:sz w:val="20"/>
                <w:szCs w:val="18"/>
              </w:rPr>
              <w:t xml:space="preserve"> de-motivators</w:t>
            </w:r>
          </w:p>
        </w:tc>
      </w:tr>
    </w:tbl>
    <w:p w:rsidR="004749B2" w:rsidRDefault="004749B2" w:rsidP="004749B2">
      <w:pPr>
        <w:rPr>
          <w:bCs/>
          <w:lang w:val="en-US"/>
        </w:rPr>
      </w:pPr>
    </w:p>
    <w:p w:rsidR="00E4211C" w:rsidRDefault="004749B2" w:rsidP="004749B2">
      <w:pPr>
        <w:rPr>
          <w:bCs/>
          <w:lang w:val="en-US"/>
        </w:rPr>
      </w:pPr>
      <w:r w:rsidRPr="00303D94">
        <w:rPr>
          <w:bCs/>
          <w:lang w:val="en-US"/>
        </w:rPr>
        <w:t xml:space="preserve">By selecting variables in factors that had high saturation and were in the first third of the ranking of variables by </w:t>
      </w:r>
      <w:r>
        <w:rPr>
          <w:bCs/>
          <w:lang w:val="en-US"/>
        </w:rPr>
        <w:t>the level</w:t>
      </w:r>
      <w:r w:rsidRPr="00303D94">
        <w:rPr>
          <w:bCs/>
          <w:lang w:val="en-US"/>
        </w:rPr>
        <w:t xml:space="preserve"> of importance and </w:t>
      </w:r>
      <w:r>
        <w:rPr>
          <w:bCs/>
          <w:lang w:val="en-US"/>
        </w:rPr>
        <w:t>level</w:t>
      </w:r>
      <w:r w:rsidRPr="00303D94">
        <w:rPr>
          <w:bCs/>
          <w:lang w:val="en-US"/>
        </w:rPr>
        <w:t xml:space="preserve"> of agreement </w:t>
      </w:r>
      <w:r>
        <w:rPr>
          <w:bCs/>
          <w:lang w:val="en-US"/>
        </w:rPr>
        <w:t>among</w:t>
      </w:r>
      <w:r w:rsidRPr="00303D94">
        <w:rPr>
          <w:bCs/>
          <w:lang w:val="en-US"/>
        </w:rPr>
        <w:t xml:space="preserve"> respondents, a subset of key factors that </w:t>
      </w:r>
      <w:r>
        <w:rPr>
          <w:bCs/>
          <w:lang w:val="en-US"/>
        </w:rPr>
        <w:t>have</w:t>
      </w:r>
      <w:r w:rsidR="00E4211C">
        <w:rPr>
          <w:bCs/>
          <w:lang w:val="en-US"/>
        </w:rPr>
        <w:t xml:space="preserve"> the</w:t>
      </w:r>
      <w:r>
        <w:rPr>
          <w:bCs/>
          <w:lang w:val="en-US"/>
        </w:rPr>
        <w:t xml:space="preserve"> highest influence on </w:t>
      </w:r>
      <w:r w:rsidRPr="00303D94">
        <w:rPr>
          <w:bCs/>
          <w:lang w:val="en-US"/>
        </w:rPr>
        <w:t>student engagement in the education process w</w:t>
      </w:r>
      <w:r>
        <w:rPr>
          <w:bCs/>
          <w:lang w:val="en-US"/>
        </w:rPr>
        <w:t>as</w:t>
      </w:r>
      <w:r w:rsidRPr="00303D94">
        <w:rPr>
          <w:bCs/>
          <w:lang w:val="en-US"/>
        </w:rPr>
        <w:t xml:space="preserve"> identified</w:t>
      </w:r>
      <w:r w:rsidR="0051074B">
        <w:rPr>
          <w:bCs/>
          <w:lang w:val="en-US"/>
        </w:rPr>
        <w:t xml:space="preserve">, </w:t>
      </w:r>
      <w:r>
        <w:rPr>
          <w:bCs/>
          <w:lang w:val="en-US"/>
        </w:rPr>
        <w:t>Table 1</w:t>
      </w:r>
      <w:r w:rsidRPr="00303D94">
        <w:rPr>
          <w:bCs/>
          <w:lang w:val="en-US"/>
        </w:rPr>
        <w:t xml:space="preserve">. </w:t>
      </w:r>
    </w:p>
    <w:p w:rsidR="004749B2" w:rsidRPr="004749B2" w:rsidRDefault="004749B2" w:rsidP="004749B2">
      <w:pPr>
        <w:rPr>
          <w:sz w:val="20"/>
          <w:szCs w:val="20"/>
        </w:rPr>
      </w:pPr>
      <w:r w:rsidRPr="00303D94">
        <w:rPr>
          <w:bCs/>
          <w:lang w:val="en-US"/>
        </w:rPr>
        <w:t xml:space="preserve">By </w:t>
      </w:r>
      <w:r w:rsidR="00E4211C">
        <w:rPr>
          <w:bCs/>
          <w:lang w:val="en-US"/>
        </w:rPr>
        <w:t>identifying</w:t>
      </w:r>
      <w:r w:rsidRPr="00303D94">
        <w:rPr>
          <w:bCs/>
          <w:lang w:val="en-US"/>
        </w:rPr>
        <w:t xml:space="preserve"> the </w:t>
      </w:r>
      <w:r>
        <w:rPr>
          <w:bCs/>
          <w:lang w:val="en-US"/>
        </w:rPr>
        <w:t xml:space="preserve">walue network </w:t>
      </w:r>
      <w:r w:rsidRPr="00303D94">
        <w:rPr>
          <w:bCs/>
          <w:lang w:val="en-US"/>
        </w:rPr>
        <w:t>roles</w:t>
      </w:r>
      <w:r>
        <w:rPr>
          <w:bCs/>
          <w:lang w:val="en-US"/>
        </w:rPr>
        <w:t>, i.e. participants in the transactions</w:t>
      </w:r>
      <w:r w:rsidR="0051074B">
        <w:rPr>
          <w:bCs/>
          <w:lang w:val="en-US"/>
        </w:rPr>
        <w:t xml:space="preserve"> </w:t>
      </w:r>
      <w:r>
        <w:rPr>
          <w:bCs/>
          <w:lang w:val="en-US"/>
        </w:rPr>
        <w:t>for each of  the identified key fa</w:t>
      </w:r>
      <w:r w:rsidR="0051074B">
        <w:rPr>
          <w:bCs/>
          <w:lang w:val="en-US"/>
        </w:rPr>
        <w:t>c</w:t>
      </w:r>
      <w:r>
        <w:rPr>
          <w:bCs/>
          <w:lang w:val="en-US"/>
        </w:rPr>
        <w:t>tors, the</w:t>
      </w:r>
      <w:r w:rsidRPr="00303D94">
        <w:rPr>
          <w:bCs/>
          <w:lang w:val="en-US"/>
        </w:rPr>
        <w:t xml:space="preserve"> value network </w:t>
      </w:r>
      <w:r>
        <w:rPr>
          <w:bCs/>
          <w:lang w:val="en-US"/>
        </w:rPr>
        <w:t>was desined</w:t>
      </w:r>
      <w:r w:rsidR="0051074B">
        <w:rPr>
          <w:bCs/>
          <w:lang w:val="en-US"/>
        </w:rPr>
        <w:t>, Figure</w:t>
      </w:r>
      <w:r>
        <w:rPr>
          <w:bCs/>
          <w:lang w:val="en-US"/>
        </w:rPr>
        <w:t xml:space="preserve"> 1.</w:t>
      </w:r>
    </w:p>
    <w:p w:rsidR="006058C8" w:rsidRDefault="006058C8" w:rsidP="006058C8"/>
    <w:p w:rsidR="006058C8" w:rsidRPr="008F5406" w:rsidRDefault="006058C8" w:rsidP="006058C8">
      <w:pPr>
        <w:pStyle w:val="Caption"/>
        <w:rPr>
          <w:noProof w:val="0"/>
          <w:lang w:val="en-US"/>
        </w:rPr>
      </w:pPr>
    </w:p>
    <w:p w:rsidR="00CA4BC0" w:rsidRDefault="00CA4BC0" w:rsidP="00F13EB8">
      <w:pPr>
        <w:pStyle w:val="Caption"/>
        <w:rPr>
          <w:noProof w:val="0"/>
          <w:lang w:val="en-US"/>
        </w:rPr>
      </w:pPr>
      <w:r>
        <w:rPr>
          <w:lang w:val="en-US" w:bidi="ar-SA"/>
        </w:rPr>
        <w:lastRenderedPageBreak/>
        <w:drawing>
          <wp:inline distT="0" distB="0" distL="0" distR="0">
            <wp:extent cx="5760720" cy="36004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4596" b="11142"/>
                    <a:stretch>
                      <a:fillRect/>
                    </a:stretch>
                  </pic:blipFill>
                  <pic:spPr bwMode="auto">
                    <a:xfrm>
                      <a:off x="0" y="0"/>
                      <a:ext cx="5760720" cy="3600450"/>
                    </a:xfrm>
                    <a:prstGeom prst="rect">
                      <a:avLst/>
                    </a:prstGeom>
                    <a:noFill/>
                    <a:ln>
                      <a:noFill/>
                    </a:ln>
                  </pic:spPr>
                </pic:pic>
              </a:graphicData>
            </a:graphic>
          </wp:inline>
        </w:drawing>
      </w:r>
    </w:p>
    <w:p w:rsidR="00477162" w:rsidRDefault="0051074B" w:rsidP="00F13EB8">
      <w:pPr>
        <w:pStyle w:val="Caption"/>
        <w:rPr>
          <w:noProof w:val="0"/>
          <w:lang w:val="en-US"/>
        </w:rPr>
      </w:pPr>
      <w:r>
        <w:rPr>
          <w:noProof w:val="0"/>
          <w:lang w:val="en-US"/>
        </w:rPr>
        <w:t>Figure</w:t>
      </w:r>
      <w:r w:rsidR="004F14C6">
        <w:rPr>
          <w:noProof w:val="0"/>
          <w:lang w:val="en-US"/>
        </w:rPr>
        <w:t xml:space="preserve"> 1 </w:t>
      </w:r>
      <w:r w:rsidR="006058C8" w:rsidRPr="008F5406">
        <w:rPr>
          <w:noProof w:val="0"/>
          <w:lang w:val="en-US"/>
        </w:rPr>
        <w:t xml:space="preserve">– </w:t>
      </w:r>
      <w:r w:rsidR="00CA4BC0">
        <w:rPr>
          <w:noProof w:val="0"/>
          <w:lang w:val="en-US"/>
        </w:rPr>
        <w:t>The v</w:t>
      </w:r>
      <w:r w:rsidR="00D13F1F">
        <w:rPr>
          <w:noProof w:val="0"/>
          <w:lang w:val="en-US"/>
        </w:rPr>
        <w:t>alue network</w:t>
      </w:r>
    </w:p>
    <w:p w:rsidR="00F13EB8" w:rsidRPr="00F13EB8" w:rsidRDefault="00F13EB8" w:rsidP="00F13EB8">
      <w:pPr>
        <w:rPr>
          <w:lang w:val="en-US"/>
        </w:rPr>
      </w:pPr>
    </w:p>
    <w:p w:rsidR="00477162" w:rsidRDefault="00477162" w:rsidP="00477162">
      <w:pPr>
        <w:pStyle w:val="Heading2"/>
        <w:rPr>
          <w:lang w:val="en-US"/>
        </w:rPr>
      </w:pPr>
      <w:r>
        <w:rPr>
          <w:lang w:val="en-US"/>
        </w:rPr>
        <w:t>conclusions</w:t>
      </w:r>
    </w:p>
    <w:p w:rsidR="00194C0A" w:rsidRPr="004819FA" w:rsidRDefault="001A6AD9" w:rsidP="004819FA">
      <w:pPr>
        <w:spacing w:before="56" w:after="113"/>
        <w:rPr>
          <w:sz w:val="20"/>
          <w:szCs w:val="20"/>
          <w:lang w:val="en-US"/>
        </w:rPr>
      </w:pPr>
      <w:r>
        <w:rPr>
          <w:rFonts w:cs="Calibri"/>
        </w:rPr>
        <w:t xml:space="preserve">Group of </w:t>
      </w:r>
      <w:r w:rsidR="004413F9">
        <w:rPr>
          <w:rFonts w:cs="Calibri"/>
        </w:rPr>
        <w:t xml:space="preserve">57 (student) </w:t>
      </w:r>
      <w:r w:rsidR="00B72C36">
        <w:rPr>
          <w:rFonts w:cs="Calibri"/>
        </w:rPr>
        <w:t>respondents</w:t>
      </w:r>
      <w:r>
        <w:rPr>
          <w:rFonts w:cs="Calibri"/>
        </w:rPr>
        <w:t xml:space="preserve"> participated in this research</w:t>
      </w:r>
      <w:r w:rsidR="00B72C36" w:rsidRPr="00B72C36">
        <w:rPr>
          <w:rFonts w:cs="Calibri"/>
        </w:rPr>
        <w:t>. As the aim of the research was to determine the possibility of applying the given methodology to higher education institutions</w:t>
      </w:r>
      <w:r w:rsidR="00B72C36">
        <w:rPr>
          <w:rFonts w:cs="Calibri"/>
        </w:rPr>
        <w:t>,</w:t>
      </w:r>
      <w:r w:rsidR="00B72C36" w:rsidRPr="00B72C36">
        <w:rPr>
          <w:rFonts w:cs="Calibri"/>
        </w:rPr>
        <w:t xml:space="preserve"> and research itself </w:t>
      </w:r>
      <w:r w:rsidR="00B72C36">
        <w:rPr>
          <w:rFonts w:cs="Calibri"/>
        </w:rPr>
        <w:t>was</w:t>
      </w:r>
      <w:r w:rsidR="00B72C36" w:rsidRPr="00B72C36">
        <w:rPr>
          <w:rFonts w:cs="Calibri"/>
        </w:rPr>
        <w:t xml:space="preserve"> of the experimental type, the sample size </w:t>
      </w:r>
      <w:r w:rsidR="004413F9">
        <w:rPr>
          <w:rFonts w:cs="Calibri"/>
        </w:rPr>
        <w:t>was</w:t>
      </w:r>
      <w:r w:rsidR="00B72C36" w:rsidRPr="00B72C36">
        <w:rPr>
          <w:rFonts w:cs="Calibri"/>
        </w:rPr>
        <w:t xml:space="preserve"> considered appropriate. In the further course of research, the created value network should be analyzed by asking three basic questions related to </w:t>
      </w:r>
      <w:r w:rsidR="00D47DC7">
        <w:rPr>
          <w:rFonts w:cs="Calibri"/>
        </w:rPr>
        <w:t>[</w:t>
      </w:r>
      <w:r w:rsidR="003F52C7">
        <w:rPr>
          <w:rFonts w:cs="Calibri"/>
        </w:rPr>
        <w:t>13</w:t>
      </w:r>
      <w:r w:rsidR="00D47DC7">
        <w:rPr>
          <w:rFonts w:cs="Calibri"/>
        </w:rPr>
        <w:t>]: exchange analysis, impact analysis and value creation analysis. The analysis of the value network</w:t>
      </w:r>
      <w:r w:rsidR="006B22AB">
        <w:rPr>
          <w:rFonts w:cs="Calibri"/>
        </w:rPr>
        <w:t xml:space="preserve"> is about assesing the value dynamics and conversion capability of the system as a </w:t>
      </w:r>
      <w:r>
        <w:rPr>
          <w:rFonts w:cs="Calibri"/>
        </w:rPr>
        <w:t>w</w:t>
      </w:r>
      <w:r w:rsidR="006B22AB">
        <w:rPr>
          <w:rFonts w:cs="Calibri"/>
        </w:rPr>
        <w:t>hole.</w:t>
      </w:r>
    </w:p>
    <w:p w:rsidR="00BE3FB8" w:rsidRPr="00BE3FB8" w:rsidRDefault="00B86751" w:rsidP="00BE3FB8">
      <w:pPr>
        <w:pStyle w:val="Heading2"/>
      </w:pPr>
      <w:r>
        <w:t>REFERENCES</w:t>
      </w:r>
    </w:p>
    <w:p w:rsidR="00A017AE" w:rsidRPr="00A017AE" w:rsidRDefault="00A017AE" w:rsidP="00441DA5">
      <w:pPr>
        <w:pStyle w:val="References0"/>
      </w:pPr>
      <w:r w:rsidRPr="009D4580">
        <w:rPr>
          <w:szCs w:val="24"/>
        </w:rPr>
        <w:t>Mangabeira Unger, R</w:t>
      </w:r>
      <w:r>
        <w:rPr>
          <w:szCs w:val="24"/>
        </w:rPr>
        <w:t xml:space="preserve">. (2020). </w:t>
      </w:r>
      <w:r w:rsidRPr="009D4580">
        <w:rPr>
          <w:i/>
          <w:szCs w:val="24"/>
        </w:rPr>
        <w:t>The Knowledge Economy :A Critique of a Dominant View</w:t>
      </w:r>
      <w:r>
        <w:rPr>
          <w:szCs w:val="24"/>
        </w:rPr>
        <w:t>. American Affairs, 4</w:t>
      </w:r>
      <w:r w:rsidRPr="009D4580">
        <w:rPr>
          <w:szCs w:val="24"/>
        </w:rPr>
        <w:t>(3)</w:t>
      </w:r>
      <w:r>
        <w:rPr>
          <w:szCs w:val="24"/>
        </w:rPr>
        <w:t xml:space="preserve">. Retrived from </w:t>
      </w:r>
      <w:hyperlink r:id="rId8" w:history="1">
        <w:r w:rsidRPr="005678D9">
          <w:rPr>
            <w:rStyle w:val="Hyperlink"/>
            <w:szCs w:val="24"/>
          </w:rPr>
          <w:t>https://americanaffairsjournal.org/2020/08/the-knowledge-economy-a-critique-of-the-dominant-view/</w:t>
        </w:r>
      </w:hyperlink>
    </w:p>
    <w:p w:rsidR="00A017AE" w:rsidRPr="009D4580" w:rsidRDefault="00A017AE" w:rsidP="00A017AE">
      <w:pPr>
        <w:pStyle w:val="References0"/>
        <w:jc w:val="left"/>
        <w:rPr>
          <w:rStyle w:val="Emphasis"/>
          <w:b w:val="0"/>
          <w:bCs w:val="0"/>
          <w:i w:val="0"/>
          <w:iCs w:val="0"/>
          <w:szCs w:val="24"/>
          <w:shd w:val="clear" w:color="auto" w:fill="FFFFFF"/>
        </w:rPr>
      </w:pPr>
      <w:r w:rsidRPr="009D4580">
        <w:t>Mangabeir</w:t>
      </w:r>
      <w:r>
        <w:t xml:space="preserve">a </w:t>
      </w:r>
      <w:r w:rsidRPr="009D4580">
        <w:t>Unger</w:t>
      </w:r>
      <w:r>
        <w:t xml:space="preserve">, R. (2019). </w:t>
      </w:r>
      <w:r w:rsidRPr="009D4580">
        <w:rPr>
          <w:i/>
        </w:rPr>
        <w:t>The Knowledge Economy</w:t>
      </w:r>
      <w:r>
        <w:t xml:space="preserve">. </w:t>
      </w:r>
      <w:r w:rsidRPr="009D4580">
        <w:t>London</w:t>
      </w:r>
      <w:r>
        <w:t xml:space="preserve">: Verso. </w:t>
      </w:r>
      <w:r w:rsidRPr="009D4580">
        <w:rPr>
          <w:shd w:val="clear" w:color="auto" w:fill="FFFFFF"/>
        </w:rPr>
        <w:t>ISBN: </w:t>
      </w:r>
      <w:r w:rsidRPr="009D4580">
        <w:rPr>
          <w:rStyle w:val="Emphasis"/>
          <w:b w:val="0"/>
          <w:bCs w:val="0"/>
          <w:i w:val="0"/>
          <w:iCs w:val="0"/>
          <w:szCs w:val="24"/>
          <w:shd w:val="clear" w:color="auto" w:fill="FFFFFF"/>
        </w:rPr>
        <w:t>9781788735001</w:t>
      </w:r>
    </w:p>
    <w:p w:rsidR="00A017AE" w:rsidRPr="00A017AE" w:rsidRDefault="00A017AE" w:rsidP="00441DA5">
      <w:pPr>
        <w:pStyle w:val="References0"/>
      </w:pPr>
      <w:r w:rsidRPr="009D4580">
        <w:rPr>
          <w:szCs w:val="24"/>
        </w:rPr>
        <w:t>Newell, S., Robertson, M., Scarbrough, H., and Swan, J. (2009</w:t>
      </w:r>
      <w:r>
        <w:rPr>
          <w:szCs w:val="24"/>
        </w:rPr>
        <w:t xml:space="preserve">). </w:t>
      </w:r>
      <w:r w:rsidRPr="00AD439C">
        <w:rPr>
          <w:i/>
          <w:szCs w:val="24"/>
        </w:rPr>
        <w:t>Managing Knowledge Work</w:t>
      </w:r>
      <w:r w:rsidRPr="009D4580">
        <w:rPr>
          <w:szCs w:val="24"/>
        </w:rPr>
        <w:t>. Palgrave Macmillan.</w:t>
      </w:r>
      <w:hyperlink r:id="rId9" w:history="1">
        <w:r w:rsidRPr="009D4580">
          <w:rPr>
            <w:rStyle w:val="Hyperlink"/>
            <w:bCs/>
            <w:color w:val="auto"/>
            <w:szCs w:val="24"/>
            <w:shd w:val="clear" w:color="auto" w:fill="FFFFFF"/>
          </w:rPr>
          <w:t>doi.org/10.1111/j.1467-9310.2011.00656.x</w:t>
        </w:r>
      </w:hyperlink>
    </w:p>
    <w:p w:rsidR="00A017AE" w:rsidRPr="005C7CBE" w:rsidRDefault="005C7CBE" w:rsidP="00441DA5">
      <w:pPr>
        <w:pStyle w:val="References0"/>
        <w:rPr>
          <w:szCs w:val="24"/>
        </w:rPr>
      </w:pPr>
      <w:r w:rsidRPr="005C7CBE">
        <w:rPr>
          <w:szCs w:val="24"/>
        </w:rPr>
        <w:t xml:space="preserve">Von Krog, V.,Grand, S. (2002). </w:t>
      </w:r>
      <w:r w:rsidRPr="005C7CBE">
        <w:rPr>
          <w:i/>
          <w:szCs w:val="24"/>
        </w:rPr>
        <w:t>From Economic Theory Toward</w:t>
      </w:r>
      <w:r>
        <w:rPr>
          <w:i/>
          <w:szCs w:val="24"/>
        </w:rPr>
        <w:t>s</w:t>
      </w:r>
      <w:r w:rsidRPr="005C7CBE">
        <w:rPr>
          <w:i/>
          <w:szCs w:val="24"/>
        </w:rPr>
        <w:t xml:space="preserve"> a Knowledge-Based Theory of the Firm</w:t>
      </w:r>
      <w:r>
        <w:rPr>
          <w:i/>
          <w:szCs w:val="24"/>
        </w:rPr>
        <w:t>:Conceptual Building Blocs.</w:t>
      </w:r>
      <w:r w:rsidRPr="005C7CBE">
        <w:rPr>
          <w:szCs w:val="24"/>
        </w:rPr>
        <w:t>In Choo, C. W., Bontis,N.</w:t>
      </w:r>
      <w:r w:rsidR="00A74775">
        <w:rPr>
          <w:szCs w:val="24"/>
        </w:rPr>
        <w:t>, editors.</w:t>
      </w:r>
      <w:r w:rsidRPr="005C7CBE">
        <w:rPr>
          <w:i/>
          <w:szCs w:val="24"/>
        </w:rPr>
        <w:t>The Strategic Management of Intellectual Capital and Organizational Knowledge</w:t>
      </w:r>
      <w:r w:rsidRPr="005C7CBE">
        <w:rPr>
          <w:szCs w:val="24"/>
        </w:rPr>
        <w:t xml:space="preserve">. Oxford University Press. </w:t>
      </w:r>
      <w:r w:rsidRPr="005C7CBE">
        <w:rPr>
          <w:color w:val="000000"/>
          <w:szCs w:val="24"/>
          <w:shd w:val="clear" w:color="auto" w:fill="FFFFFF"/>
        </w:rPr>
        <w:t>ISBN: 0-19-513866-X</w:t>
      </w:r>
    </w:p>
    <w:p w:rsidR="00553E4A" w:rsidRPr="009D4580" w:rsidRDefault="00553E4A" w:rsidP="00553E4A">
      <w:pPr>
        <w:pStyle w:val="References0"/>
      </w:pPr>
      <w:r w:rsidRPr="009D4580">
        <w:rPr>
          <w:shd w:val="clear" w:color="auto" w:fill="FFFFFF"/>
        </w:rPr>
        <w:lastRenderedPageBreak/>
        <w:t>Sveiby</w:t>
      </w:r>
      <w:r>
        <w:rPr>
          <w:shd w:val="clear" w:color="auto" w:fill="FFFFFF"/>
        </w:rPr>
        <w:t>, K. (2001).</w:t>
      </w:r>
      <w:r w:rsidR="00291B2E">
        <w:rPr>
          <w:shd w:val="clear" w:color="auto" w:fill="FFFFFF"/>
        </w:rPr>
        <w:t xml:space="preserve"> </w:t>
      </w:r>
      <w:r w:rsidRPr="00B82049">
        <w:rPr>
          <w:i/>
          <w:shd w:val="clear" w:color="auto" w:fill="FFFFFF"/>
        </w:rPr>
        <w:t>A knowledge-based theory of the firm to guide in strategy formulation</w:t>
      </w:r>
      <w:r>
        <w:rPr>
          <w:shd w:val="clear" w:color="auto" w:fill="FFFFFF"/>
        </w:rPr>
        <w:t xml:space="preserve">. </w:t>
      </w:r>
      <w:r w:rsidRPr="00553E4A">
        <w:rPr>
          <w:shd w:val="clear" w:color="auto" w:fill="FFFFFF"/>
        </w:rPr>
        <w:t>Journal of Intellectual Capital, 2(4), 344–358. ISSN 1469-1930</w:t>
      </w:r>
    </w:p>
    <w:p w:rsidR="005C7CBE" w:rsidRPr="005C7CBE" w:rsidRDefault="00A74775" w:rsidP="00441DA5">
      <w:pPr>
        <w:pStyle w:val="References0"/>
        <w:rPr>
          <w:szCs w:val="24"/>
        </w:rPr>
      </w:pPr>
      <w:r>
        <w:rPr>
          <w:szCs w:val="24"/>
        </w:rPr>
        <w:t xml:space="preserve">Herman, </w:t>
      </w:r>
      <w:r w:rsidR="00553E4A">
        <w:rPr>
          <w:szCs w:val="24"/>
        </w:rPr>
        <w:t>C.</w:t>
      </w:r>
      <w:r>
        <w:rPr>
          <w:szCs w:val="24"/>
        </w:rPr>
        <w:t xml:space="preserve">, </w:t>
      </w:r>
      <w:r w:rsidR="00553E4A" w:rsidRPr="009D4580">
        <w:rPr>
          <w:szCs w:val="24"/>
        </w:rPr>
        <w:t>Brelade</w:t>
      </w:r>
      <w:r>
        <w:rPr>
          <w:szCs w:val="24"/>
        </w:rPr>
        <w:t xml:space="preserve">, </w:t>
      </w:r>
      <w:r w:rsidR="00553E4A">
        <w:rPr>
          <w:szCs w:val="24"/>
        </w:rPr>
        <w:t>S.</w:t>
      </w:r>
      <w:r>
        <w:rPr>
          <w:szCs w:val="24"/>
        </w:rPr>
        <w:t xml:space="preserve"> (2000). </w:t>
      </w:r>
      <w:r w:rsidR="00553E4A" w:rsidRPr="00A74775">
        <w:rPr>
          <w:i/>
          <w:szCs w:val="24"/>
        </w:rPr>
        <w:t>Knowledge Management and the Role of HR</w:t>
      </w:r>
      <w:r>
        <w:rPr>
          <w:szCs w:val="24"/>
        </w:rPr>
        <w:t>.</w:t>
      </w:r>
      <w:r w:rsidR="00553E4A" w:rsidRPr="009D4580">
        <w:rPr>
          <w:szCs w:val="24"/>
        </w:rPr>
        <w:t xml:space="preserve"> Financial Times&amp;Prentice Hall</w:t>
      </w:r>
      <w:r>
        <w:rPr>
          <w:szCs w:val="24"/>
        </w:rPr>
        <w:t xml:space="preserve">, </w:t>
      </w:r>
      <w:r w:rsidR="00553E4A" w:rsidRPr="009D4580">
        <w:rPr>
          <w:szCs w:val="24"/>
        </w:rPr>
        <w:t>ID: 167009387</w:t>
      </w:r>
    </w:p>
    <w:p w:rsidR="00553E4A" w:rsidRDefault="00A74775" w:rsidP="00A74775">
      <w:pPr>
        <w:pStyle w:val="References0"/>
        <w:ind w:left="425" w:hanging="425"/>
      </w:pPr>
      <w:r w:rsidRPr="00A74775">
        <w:rPr>
          <w:shd w:val="clear" w:color="auto" w:fill="FFFFFF"/>
        </w:rPr>
        <w:t xml:space="preserve">Grant, RM. (2002) </w:t>
      </w:r>
      <w:r w:rsidRPr="00A74775">
        <w:rPr>
          <w:i/>
          <w:shd w:val="clear" w:color="auto" w:fill="FFFFFF"/>
        </w:rPr>
        <w:t>The Knowledge-Based View of the Firm</w:t>
      </w:r>
      <w:r w:rsidRPr="00A74775">
        <w:rPr>
          <w:shd w:val="clear" w:color="auto" w:fill="FFFFFF"/>
        </w:rPr>
        <w:t xml:space="preserve">. In: Choo CW, Bontis N, editors. </w:t>
      </w:r>
      <w:r w:rsidRPr="00A74775">
        <w:rPr>
          <w:i/>
          <w:shd w:val="clear" w:color="auto" w:fill="FFFFFF"/>
        </w:rPr>
        <w:t>The Strategic Management of Intellectual Capital and Organizational Knowledge</w:t>
      </w:r>
      <w:r w:rsidRPr="00A74775">
        <w:rPr>
          <w:shd w:val="clear" w:color="auto" w:fill="FFFFFF"/>
        </w:rPr>
        <w:t xml:space="preserve">. Oxford University Press. </w:t>
      </w:r>
      <w:r w:rsidRPr="005C7CBE">
        <w:rPr>
          <w:color w:val="000000"/>
          <w:szCs w:val="24"/>
          <w:shd w:val="clear" w:color="auto" w:fill="FFFFFF"/>
        </w:rPr>
        <w:t>ISBN: 0-19-513866-X</w:t>
      </w:r>
    </w:p>
    <w:p w:rsidR="00A74775" w:rsidRPr="00A74775" w:rsidRDefault="00A74775" w:rsidP="00441DA5">
      <w:pPr>
        <w:pStyle w:val="References0"/>
      </w:pPr>
      <w:r w:rsidRPr="00A74775">
        <w:rPr>
          <w:szCs w:val="24"/>
        </w:rPr>
        <w:t>Andriensen</w:t>
      </w:r>
      <w:r>
        <w:rPr>
          <w:szCs w:val="24"/>
        </w:rPr>
        <w:t>,</w:t>
      </w:r>
      <w:r w:rsidRPr="00A74775">
        <w:rPr>
          <w:szCs w:val="24"/>
        </w:rPr>
        <w:t xml:space="preserve"> D</w:t>
      </w:r>
      <w:r>
        <w:rPr>
          <w:szCs w:val="24"/>
        </w:rPr>
        <w:t>. (2004).</w:t>
      </w:r>
      <w:r w:rsidR="00291B2E">
        <w:rPr>
          <w:szCs w:val="24"/>
        </w:rPr>
        <w:t xml:space="preserve"> </w:t>
      </w:r>
      <w:r w:rsidRPr="00A74775">
        <w:rPr>
          <w:i/>
          <w:szCs w:val="24"/>
        </w:rPr>
        <w:t>Making Sence of Intellectual Capital: Designing a Method for the Valuation of  Intangibles</w:t>
      </w:r>
      <w:r w:rsidRPr="00A74775">
        <w:rPr>
          <w:szCs w:val="24"/>
        </w:rPr>
        <w:t>. Burlington: Elsev</w:t>
      </w:r>
      <w:r>
        <w:rPr>
          <w:szCs w:val="24"/>
        </w:rPr>
        <w:t>ier Butterworth-Heinemann. ISBN: 978-0750677745</w:t>
      </w:r>
    </w:p>
    <w:p w:rsidR="00A74775" w:rsidRPr="00A74775" w:rsidRDefault="00A74775" w:rsidP="00A74775">
      <w:pPr>
        <w:pStyle w:val="References0"/>
      </w:pPr>
      <w:r w:rsidRPr="00A74775">
        <w:t>Roos</w:t>
      </w:r>
      <w:r>
        <w:t xml:space="preserve">, </w:t>
      </w:r>
      <w:r w:rsidRPr="00A74775">
        <w:t>G., Bainbridge</w:t>
      </w:r>
      <w:r>
        <w:t>,</w:t>
      </w:r>
      <w:r w:rsidRPr="00A74775">
        <w:t xml:space="preserve"> A., Jacobsen</w:t>
      </w:r>
      <w:r>
        <w:t xml:space="preserve">, K. (2001) </w:t>
      </w:r>
      <w:r w:rsidRPr="00A74775">
        <w:rPr>
          <w:i/>
        </w:rPr>
        <w:t>Intellectual capital as a strategic tool</w:t>
      </w:r>
      <w:r w:rsidR="00E06900">
        <w:t>.</w:t>
      </w:r>
      <w:r w:rsidRPr="00E06900">
        <w:t>Strategy and Leadership Journal</w:t>
      </w:r>
      <w:r w:rsidR="00E06900">
        <w:t>, 29(</w:t>
      </w:r>
      <w:r w:rsidRPr="00A74775">
        <w:t>4</w:t>
      </w:r>
      <w:r w:rsidR="00E06900">
        <w:t xml:space="preserve">), 21-28. </w:t>
      </w:r>
      <w:r w:rsidR="00E06900" w:rsidRPr="00E06900">
        <w:rPr>
          <w:color w:val="000000"/>
          <w:szCs w:val="24"/>
          <w:shd w:val="clear" w:color="auto" w:fill="FFFFFF"/>
        </w:rPr>
        <w:t>http://dx.doi.org/10.1108/10878570110400116</w:t>
      </w:r>
    </w:p>
    <w:p w:rsidR="00A74775" w:rsidRPr="00F00345" w:rsidRDefault="000406C4" w:rsidP="000406C4">
      <w:pPr>
        <w:pStyle w:val="References0"/>
        <w:ind w:left="425" w:hanging="425"/>
      </w:pPr>
      <w:r w:rsidRPr="00F00345">
        <w:rPr>
          <w:shd w:val="clear" w:color="auto" w:fill="FCFCFC"/>
        </w:rPr>
        <w:t xml:space="preserve">Sharma, S., Dharni, K. (2020). </w:t>
      </w:r>
      <w:r w:rsidRPr="00F00345">
        <w:rPr>
          <w:i/>
          <w:shd w:val="clear" w:color="auto" w:fill="FCFCFC"/>
        </w:rPr>
        <w:t>Measurement and reporting of intangible assets: orientation of Indian practitioners</w:t>
      </w:r>
      <w:r w:rsidRPr="00F00345">
        <w:rPr>
          <w:shd w:val="clear" w:color="auto" w:fill="FCFCFC"/>
        </w:rPr>
        <w:t>. </w:t>
      </w:r>
      <w:r w:rsidRPr="00F00345">
        <w:rPr>
          <w:iCs/>
          <w:shd w:val="clear" w:color="auto" w:fill="FCFCFC"/>
        </w:rPr>
        <w:t>Decision</w:t>
      </w:r>
      <w:r w:rsidRPr="00F00345">
        <w:rPr>
          <w:shd w:val="clear" w:color="auto" w:fill="FCFCFC"/>
        </w:rPr>
        <w:t> ,</w:t>
      </w:r>
      <w:r w:rsidR="00291B2E">
        <w:rPr>
          <w:shd w:val="clear" w:color="auto" w:fill="FCFCFC"/>
        </w:rPr>
        <w:t xml:space="preserve"> </w:t>
      </w:r>
      <w:r w:rsidRPr="00F00345">
        <w:rPr>
          <w:b/>
          <w:bCs/>
          <w:shd w:val="clear" w:color="auto" w:fill="FCFCFC"/>
        </w:rPr>
        <w:t>47, </w:t>
      </w:r>
      <w:r w:rsidRPr="00F00345">
        <w:rPr>
          <w:shd w:val="clear" w:color="auto" w:fill="FCFCFC"/>
        </w:rPr>
        <w:t>125–135. https://doi.org/10.1007/s40622-020-00240-y</w:t>
      </w:r>
    </w:p>
    <w:p w:rsidR="00A74775" w:rsidRPr="003F52C7" w:rsidRDefault="000406C4" w:rsidP="00441DA5">
      <w:pPr>
        <w:pStyle w:val="References0"/>
        <w:rPr>
          <w:szCs w:val="24"/>
        </w:rPr>
      </w:pPr>
      <w:r>
        <w:rPr>
          <w:color w:val="000000"/>
          <w:szCs w:val="24"/>
          <w:shd w:val="clear" w:color="auto" w:fill="FFFFFF"/>
        </w:rPr>
        <w:t>Meritum Project.</w:t>
      </w:r>
      <w:r w:rsidR="001C232B">
        <w:rPr>
          <w:color w:val="000000"/>
          <w:szCs w:val="24"/>
          <w:shd w:val="clear" w:color="auto" w:fill="FFFFFF"/>
        </w:rPr>
        <w:t xml:space="preserve"> (2002). </w:t>
      </w:r>
      <w:r w:rsidRPr="000406C4">
        <w:rPr>
          <w:i/>
          <w:color w:val="000000"/>
          <w:szCs w:val="24"/>
          <w:shd w:val="clear" w:color="auto" w:fill="FFFFFF"/>
        </w:rPr>
        <w:t>Guidelines for Managing and Reporting on Intangibles</w:t>
      </w:r>
      <w:r>
        <w:rPr>
          <w:color w:val="000000"/>
          <w:szCs w:val="24"/>
          <w:shd w:val="clear" w:color="auto" w:fill="FFFFFF"/>
        </w:rPr>
        <w:t>.</w:t>
      </w:r>
      <w:r w:rsidRPr="000406C4">
        <w:rPr>
          <w:color w:val="000000"/>
          <w:szCs w:val="24"/>
          <w:shd w:val="clear" w:color="auto" w:fill="FFFFFF"/>
        </w:rPr>
        <w:t xml:space="preserve"> Intellectual Capital Report, Fundación Airtel Móvil, Madrid, 2002</w:t>
      </w:r>
      <w:r>
        <w:rPr>
          <w:rFonts w:ascii="Verdana" w:hAnsi="Verdana"/>
          <w:color w:val="000000"/>
          <w:sz w:val="20"/>
          <w:szCs w:val="20"/>
          <w:shd w:val="clear" w:color="auto" w:fill="FFFFFF"/>
        </w:rPr>
        <w:t>.</w:t>
      </w:r>
      <w:r w:rsidR="001C232B" w:rsidRPr="001C232B">
        <w:rPr>
          <w:color w:val="000000"/>
          <w:szCs w:val="24"/>
          <w:shd w:val="clear" w:color="auto" w:fill="FFFFFF"/>
        </w:rPr>
        <w:t>ID: 17073232</w:t>
      </w:r>
    </w:p>
    <w:p w:rsidR="003F52C7" w:rsidRPr="00F00345" w:rsidRDefault="003F52C7" w:rsidP="003F52C7">
      <w:pPr>
        <w:pStyle w:val="References0"/>
        <w:jc w:val="left"/>
        <w:rPr>
          <w:szCs w:val="24"/>
        </w:rPr>
      </w:pPr>
      <w:r w:rsidRPr="00F00345">
        <w:rPr>
          <w:shd w:val="clear" w:color="auto" w:fill="FCFCFC"/>
        </w:rPr>
        <w:t>Petrov, V., Ćelić, Đ., Uzelac, Z., Drašković, Z. (2020) </w:t>
      </w:r>
      <w:r w:rsidRPr="00F00345">
        <w:rPr>
          <w:i/>
          <w:iCs/>
          <w:shd w:val="clear" w:color="auto" w:fill="FCFCFC"/>
        </w:rPr>
        <w:t>.</w:t>
      </w:r>
      <w:r w:rsidRPr="00F00345">
        <w:rPr>
          <w:shd w:val="clear" w:color="auto" w:fill="FCFCFC"/>
        </w:rPr>
        <w:t> </w:t>
      </w:r>
      <w:r w:rsidRPr="00F00345">
        <w:rPr>
          <w:i/>
          <w:shd w:val="clear" w:color="auto" w:fill="FCFCFC"/>
        </w:rPr>
        <w:t>Three pillars of knowledge management in SMEs: evidence from Serbia</w:t>
      </w:r>
      <w:r w:rsidRPr="00F00345">
        <w:rPr>
          <w:shd w:val="clear" w:color="auto" w:fill="FCFCFC"/>
        </w:rPr>
        <w:t>. </w:t>
      </w:r>
      <w:r w:rsidRPr="00F00345">
        <w:rPr>
          <w:iCs/>
          <w:shd w:val="clear" w:color="auto" w:fill="FCFCFC"/>
        </w:rPr>
        <w:t>Int. Entrep ManagJ</w:t>
      </w:r>
      <w:r w:rsidRPr="00F00345">
        <w:rPr>
          <w:b/>
          <w:bCs/>
          <w:shd w:val="clear" w:color="auto" w:fill="FCFCFC"/>
        </w:rPr>
        <w:t>, 16, </w:t>
      </w:r>
      <w:r w:rsidRPr="00F00345">
        <w:rPr>
          <w:shd w:val="clear" w:color="auto" w:fill="FCFCFC"/>
        </w:rPr>
        <w:t>417–438. https://doi.org/10.1007/s11365-018-00557-2</w:t>
      </w:r>
    </w:p>
    <w:p w:rsidR="00C62FC5" w:rsidRPr="00C62FC5" w:rsidRDefault="00C62FC5" w:rsidP="00441DA5">
      <w:pPr>
        <w:pStyle w:val="References0"/>
        <w:rPr>
          <w:rStyle w:val="fontstyle01"/>
          <w:rFonts w:ascii="Times New Roman" w:hAnsi="Times New Roman"/>
          <w:color w:val="auto"/>
          <w:sz w:val="24"/>
        </w:rPr>
      </w:pPr>
      <w:r>
        <w:t xml:space="preserve">Verna Allee, (2008) </w:t>
      </w:r>
      <w:r w:rsidR="00291B2E">
        <w:t>“</w:t>
      </w:r>
      <w:r>
        <w:t>Value network analysis and value conversion of tangible and intangible assets</w:t>
      </w:r>
      <w:r w:rsidR="00291B2E">
        <w:t>”</w:t>
      </w:r>
      <w:r>
        <w:t>, Journal of Intellectual Capital, Vol. 9 Issue: 1,pp. 5-24, doi: 10.1108/14691930810845777</w:t>
      </w:r>
    </w:p>
    <w:p w:rsidR="006008CD" w:rsidRPr="001C232B" w:rsidRDefault="001C232B" w:rsidP="001C232B">
      <w:pPr>
        <w:pStyle w:val="References0"/>
      </w:pPr>
      <w:r>
        <w:rPr>
          <w:shd w:val="clear" w:color="auto" w:fill="FFFFFF"/>
        </w:rPr>
        <w:t xml:space="preserve">Antonaras, A., Dekoulou, P.E. </w:t>
      </w:r>
      <w:r w:rsidR="00C258D6" w:rsidRPr="00C258D6">
        <w:rPr>
          <w:shd w:val="clear" w:color="auto" w:fill="FFFFFF"/>
        </w:rPr>
        <w:t>(2016). </w:t>
      </w:r>
      <w:r w:rsidR="00C258D6" w:rsidRPr="001C232B">
        <w:rPr>
          <w:i/>
          <w:shd w:val="clear" w:color="auto" w:fill="FFFFFF"/>
        </w:rPr>
        <w:t>Enterprising Culture: Innovation and Value-Network</w:t>
      </w:r>
      <w:r w:rsidR="00C258D6" w:rsidRPr="00C258D6">
        <w:rPr>
          <w:shd w:val="clear" w:color="auto" w:fill="FFFFFF"/>
        </w:rPr>
        <w:t>. In </w:t>
      </w:r>
      <w:r w:rsidR="00C258D6" w:rsidRPr="00C258D6">
        <w:rPr>
          <w:i/>
          <w:iCs/>
          <w:shd w:val="clear" w:color="auto" w:fill="FFFFFF"/>
        </w:rPr>
        <w:t>Entrepreneurial Challenges in the 21st Century: Creating Stakeholder Value Co-Creation </w:t>
      </w:r>
      <w:r w:rsidR="00C258D6" w:rsidRPr="00C258D6">
        <w:rPr>
          <w:shd w:val="clear" w:color="auto" w:fill="FFFFFF"/>
        </w:rPr>
        <w:t>(pp.</w:t>
      </w:r>
      <w:r w:rsidR="00291B2E">
        <w:rPr>
          <w:shd w:val="clear" w:color="auto" w:fill="FFFFFF"/>
        </w:rPr>
        <w:t xml:space="preserve"> </w:t>
      </w:r>
      <w:r w:rsidR="00C258D6" w:rsidRPr="00C258D6">
        <w:rPr>
          <w:shd w:val="clear" w:color="auto" w:fill="FFFFFF"/>
        </w:rPr>
        <w:t>94-106). Palgrave Macmillan. </w:t>
      </w:r>
      <w:r w:rsidR="00291B2E">
        <w:rPr>
          <w:shd w:val="clear" w:color="auto" w:fill="FFFFFF"/>
        </w:rPr>
        <w:t xml:space="preserve"> </w:t>
      </w:r>
      <w:r w:rsidR="00C258D6" w:rsidRPr="00C258D6">
        <w:rPr>
          <w:shd w:val="clear" w:color="auto" w:fill="FFFFFF"/>
        </w:rPr>
        <w:t>https://doi.org/10.1057/9781137479761_6</w:t>
      </w:r>
    </w:p>
    <w:p w:rsidR="00C258D6" w:rsidRDefault="00C258D6" w:rsidP="00C258D6">
      <w:pPr>
        <w:pStyle w:val="Heading1"/>
        <w:rPr>
          <w:noProof w:val="0"/>
          <w:color w:val="505050"/>
          <w:sz w:val="48"/>
          <w:szCs w:val="48"/>
          <w:lang w:val="en-US" w:bidi="ar-SA"/>
        </w:rPr>
      </w:pPr>
    </w:p>
    <w:p w:rsidR="00C258D6" w:rsidRPr="00C258D6" w:rsidRDefault="00C258D6" w:rsidP="00C258D6">
      <w:pPr>
        <w:pStyle w:val="References0"/>
        <w:numPr>
          <w:ilvl w:val="0"/>
          <w:numId w:val="0"/>
        </w:numPr>
        <w:ind w:left="426" w:hanging="426"/>
      </w:pPr>
    </w:p>
    <w:p w:rsidR="00441DA5" w:rsidRPr="00441DA5" w:rsidRDefault="00441DA5" w:rsidP="00441DA5"/>
    <w:sectPr w:rsidR="00441DA5" w:rsidRPr="00441DA5" w:rsidSect="00DB5670">
      <w:headerReference w:type="even" r:id="rId10"/>
      <w:headerReference w:type="default" r:id="rId11"/>
      <w:footerReference w:type="even" r:id="rId12"/>
      <w:footerReference w:type="default" r:id="rId13"/>
      <w:headerReference w:type="first" r:id="rId14"/>
      <w:footerReference w:type="first" r:id="rId15"/>
      <w:pgSz w:w="11907" w:h="16839" w:code="9"/>
      <w:pgMar w:top="1418" w:right="1701" w:bottom="1418" w:left="1134" w:header="851" w:footer="567" w:gutter="0"/>
      <w:pgNumType w:start="246"/>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D2FBA" w:rsidRDefault="00ED2FBA" w:rsidP="00E06AD0">
      <w:pPr>
        <w:spacing w:after="0"/>
      </w:pPr>
      <w:r>
        <w:separator/>
      </w:r>
    </w:p>
    <w:p w:rsidR="00ED2FBA" w:rsidRDefault="00ED2FBA"/>
  </w:endnote>
  <w:endnote w:type="continuationSeparator" w:id="1">
    <w:p w:rsidR="00ED2FBA" w:rsidRDefault="00ED2FBA" w:rsidP="00E06AD0">
      <w:pPr>
        <w:spacing w:after="0"/>
      </w:pPr>
      <w:r>
        <w:continuationSeparator/>
      </w:r>
    </w:p>
    <w:p w:rsidR="00ED2FBA" w:rsidRDefault="00ED2FBA"/>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 w:name="ArialNarrow">
    <w:altName w:val="Times New Roman"/>
    <w:panose1 w:val="00000000000000000000"/>
    <w:charset w:val="00"/>
    <w:family w:val="roman"/>
    <w:notTrueType/>
    <w:pitch w:val="default"/>
    <w:sig w:usb0="00000000" w:usb1="00000000" w:usb2="00000000" w:usb3="00000000" w:csb0="0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1262" w:rsidRDefault="00131262">
    <w:pPr>
      <w:pStyle w:val="Footer"/>
      <w:jc w:val="center"/>
    </w:pPr>
    <w:r>
      <w:t>-</w:t>
    </w:r>
    <w:r w:rsidR="008A6532">
      <w:fldChar w:fldCharType="begin"/>
    </w:r>
    <w:r>
      <w:instrText xml:space="preserve"> PAGE   \* MERGEFORMAT </w:instrText>
    </w:r>
    <w:r w:rsidR="008A6532">
      <w:fldChar w:fldCharType="separate"/>
    </w:r>
    <w:r>
      <w:t>2</w:t>
    </w:r>
    <w:r w:rsidR="008A6532">
      <w:fldChar w:fldCharType="end"/>
    </w:r>
    <w:r>
      <w:t>-</w:t>
    </w:r>
  </w:p>
  <w:p w:rsidR="00131262" w:rsidRDefault="00131262">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167931"/>
      <w:docPartObj>
        <w:docPartGallery w:val="Page Numbers (Bottom of Page)"/>
        <w:docPartUnique/>
      </w:docPartObj>
    </w:sdtPr>
    <w:sdtContent>
      <w:p w:rsidR="00D54AEB" w:rsidRDefault="008A6532">
        <w:pPr>
          <w:pStyle w:val="Footer"/>
          <w:jc w:val="right"/>
        </w:pPr>
        <w:fldSimple w:instr=" PAGE   \* MERGEFORMAT ">
          <w:r w:rsidR="00DB5670">
            <w:rPr>
              <w:noProof/>
            </w:rPr>
            <w:t>249</w:t>
          </w:r>
        </w:fldSimple>
      </w:p>
    </w:sdtContent>
  </w:sdt>
  <w:p w:rsidR="00371BDC" w:rsidRDefault="00371BD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167930"/>
      <w:docPartObj>
        <w:docPartGallery w:val="Page Numbers (Bottom of Page)"/>
        <w:docPartUnique/>
      </w:docPartObj>
    </w:sdtPr>
    <w:sdtContent>
      <w:p w:rsidR="00D54AEB" w:rsidRDefault="008A6532">
        <w:pPr>
          <w:pStyle w:val="Footer"/>
          <w:jc w:val="right"/>
        </w:pPr>
        <w:fldSimple w:instr=" PAGE   \* MERGEFORMAT ">
          <w:r w:rsidR="00DB5670">
            <w:rPr>
              <w:noProof/>
            </w:rPr>
            <w:t>246</w:t>
          </w:r>
        </w:fldSimple>
      </w:p>
    </w:sdtContent>
  </w:sdt>
  <w:p w:rsidR="00371BDC" w:rsidRDefault="00371BD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D2FBA" w:rsidRPr="00D53D2E" w:rsidRDefault="00ED2FBA" w:rsidP="00D53D2E">
      <w:pPr>
        <w:spacing w:after="0"/>
        <w:ind w:firstLine="0"/>
        <w:rPr>
          <w:sz w:val="16"/>
          <w:szCs w:val="16"/>
        </w:rPr>
      </w:pPr>
    </w:p>
    <w:p w:rsidR="00ED2FBA" w:rsidRDefault="00ED2FBA" w:rsidP="00D53D2E">
      <w:pPr>
        <w:spacing w:after="0"/>
        <w:ind w:firstLine="0"/>
      </w:pPr>
      <w:r>
        <w:separator/>
      </w:r>
    </w:p>
  </w:footnote>
  <w:footnote w:type="continuationSeparator" w:id="1">
    <w:p w:rsidR="00ED2FBA" w:rsidRDefault="00ED2FBA" w:rsidP="00E06AD0">
      <w:pPr>
        <w:spacing w:after="0"/>
      </w:pPr>
      <w:r>
        <w:continuationSeparator/>
      </w:r>
    </w:p>
    <w:p w:rsidR="00ED2FBA" w:rsidRDefault="00ED2FBA"/>
  </w:footnote>
  <w:footnote w:id="2">
    <w:p w:rsidR="00131262" w:rsidRDefault="00131262" w:rsidP="00DD021A">
      <w:pPr>
        <w:pStyle w:val="FootnoteText"/>
        <w:ind w:left="397" w:firstLine="0"/>
        <w:jc w:val="left"/>
      </w:pPr>
      <w:r>
        <w:rPr>
          <w:rStyle w:val="FootnoteReference"/>
        </w:rPr>
        <w:footnoteRef/>
      </w:r>
      <w:r w:rsidR="00A87CEF">
        <w:rPr>
          <w:lang w:val="en-US"/>
        </w:rPr>
        <w:t>Assistant professor</w:t>
      </w:r>
      <w:r>
        <w:rPr>
          <w:lang w:val="en-US"/>
        </w:rPr>
        <w:t xml:space="preserve">, </w:t>
      </w:r>
      <w:bookmarkStart w:id="0" w:name="OLE_LINK7"/>
      <w:bookmarkStart w:id="1" w:name="OLE_LINK8"/>
      <w:r w:rsidR="00CC36DE">
        <w:rPr>
          <w:lang w:val="en-US"/>
        </w:rPr>
        <w:t>University</w:t>
      </w:r>
      <w:r w:rsidR="00AF64F1">
        <w:rPr>
          <w:lang w:val="en-US"/>
        </w:rPr>
        <w:t xml:space="preserve"> of Novi Sad</w:t>
      </w:r>
      <w:r w:rsidR="00A87CEF">
        <w:rPr>
          <w:lang w:val="en-US"/>
        </w:rPr>
        <w:t>,</w:t>
      </w:r>
      <w:bookmarkEnd w:id="0"/>
      <w:bookmarkEnd w:id="1"/>
      <w:r w:rsidR="00AF64F1">
        <w:rPr>
          <w:lang w:val="en-US"/>
        </w:rPr>
        <w:t xml:space="preserve"> Faculty of </w:t>
      </w:r>
      <w:r w:rsidR="00CC36DE">
        <w:rPr>
          <w:lang w:val="en-US"/>
        </w:rPr>
        <w:t>T</w:t>
      </w:r>
      <w:r w:rsidR="00AF64F1">
        <w:rPr>
          <w:lang w:val="en-US"/>
        </w:rPr>
        <w:t xml:space="preserve">echnical </w:t>
      </w:r>
      <w:r w:rsidR="00CC36DE">
        <w:rPr>
          <w:lang w:val="en-US"/>
        </w:rPr>
        <w:t>S</w:t>
      </w:r>
      <w:r w:rsidR="00AF64F1">
        <w:rPr>
          <w:lang w:val="en-US"/>
        </w:rPr>
        <w:t>ciences</w:t>
      </w:r>
      <w:r w:rsidR="00F03925">
        <w:rPr>
          <w:lang w:val="en-US"/>
        </w:rPr>
        <w:t>, Trg Dositeja Obradovića 6</w:t>
      </w:r>
      <w:r w:rsidR="004D1768">
        <w:rPr>
          <w:lang w:val="en-US"/>
        </w:rPr>
        <w:t>,</w:t>
      </w:r>
      <w:r w:rsidR="00D513E6">
        <w:rPr>
          <w:lang w:val="en-US"/>
        </w:rPr>
        <w:t xml:space="preserve"> Novi Sad</w:t>
      </w:r>
      <w:r w:rsidR="00DD021A">
        <w:rPr>
          <w:lang w:val="en-US"/>
        </w:rPr>
        <w:t xml:space="preserve">, </w:t>
      </w:r>
      <w:r w:rsidR="00AF64F1">
        <w:rPr>
          <w:lang w:val="en-US"/>
        </w:rPr>
        <w:t>celic@uns.ac.rs</w:t>
      </w:r>
      <w:r w:rsidR="00DD021A">
        <w:rPr>
          <w:lang w:val="en-US"/>
        </w:rPr>
        <w:t>:</w:t>
      </w:r>
    </w:p>
  </w:footnote>
  <w:footnote w:id="3">
    <w:p w:rsidR="00131262" w:rsidRDefault="00131262" w:rsidP="00DD021A">
      <w:pPr>
        <w:pStyle w:val="FootnoteText"/>
        <w:ind w:left="397" w:firstLine="0"/>
        <w:jc w:val="left"/>
      </w:pPr>
      <w:r>
        <w:rPr>
          <w:rStyle w:val="FootnoteReference"/>
        </w:rPr>
        <w:footnoteRef/>
      </w:r>
      <w:r w:rsidR="00F03925">
        <w:t>Lecturer</w:t>
      </w:r>
      <w:r>
        <w:rPr>
          <w:lang w:val="en-US"/>
        </w:rPr>
        <w:t xml:space="preserve">, </w:t>
      </w:r>
      <w:r w:rsidR="00F03925">
        <w:rPr>
          <w:lang w:val="en-US"/>
        </w:rPr>
        <w:t>University of Novi Sad</w:t>
      </w:r>
      <w:r w:rsidR="00A87CEF">
        <w:rPr>
          <w:lang w:val="en-US"/>
        </w:rPr>
        <w:t>,</w:t>
      </w:r>
      <w:r w:rsidR="00F03925">
        <w:rPr>
          <w:lang w:val="en-US"/>
        </w:rPr>
        <w:t>Faculty of Technical Sciences,</w:t>
      </w:r>
      <w:bookmarkStart w:id="2" w:name="OLE_LINK5"/>
      <w:bookmarkStart w:id="3" w:name="OLE_LINK6"/>
      <w:r w:rsidR="00F03925">
        <w:rPr>
          <w:lang w:val="en-US"/>
        </w:rPr>
        <w:t>Trg Dositeja Obradovića 6</w:t>
      </w:r>
      <w:bookmarkEnd w:id="2"/>
      <w:bookmarkEnd w:id="3"/>
      <w:r w:rsidR="004D1768">
        <w:rPr>
          <w:lang w:val="en-US"/>
        </w:rPr>
        <w:t>,</w:t>
      </w:r>
      <w:r w:rsidR="00D513E6">
        <w:rPr>
          <w:lang w:val="en-US"/>
        </w:rPr>
        <w:t xml:space="preserve"> Novi Sad</w:t>
      </w:r>
      <w:r>
        <w:rPr>
          <w:lang w:val="en-US"/>
        </w:rPr>
        <w:t xml:space="preserve">, </w:t>
      </w:r>
      <w:r w:rsidR="00BD004B">
        <w:rPr>
          <w:lang w:val="en-US"/>
        </w:rPr>
        <w:t>z</w:t>
      </w:r>
      <w:r w:rsidR="00882881" w:rsidRPr="00882881">
        <w:rPr>
          <w:lang w:val="en-US"/>
        </w:rPr>
        <w:t>oran.draskovic@uns.ac.rs</w:t>
      </w:r>
      <w:r w:rsidR="00DD021A">
        <w:rPr>
          <w:lang w:val="en-US"/>
        </w:rPr>
        <w:t>:</w:t>
      </w:r>
    </w:p>
  </w:footnote>
  <w:footnote w:id="4">
    <w:p w:rsidR="00131262" w:rsidRDefault="00131262" w:rsidP="00DD021A">
      <w:pPr>
        <w:pStyle w:val="FootnoteText"/>
        <w:ind w:left="397" w:firstLine="0"/>
        <w:jc w:val="left"/>
      </w:pPr>
      <w:r>
        <w:rPr>
          <w:rStyle w:val="FootnoteReference"/>
        </w:rPr>
        <w:footnoteRef/>
      </w:r>
      <w:r w:rsidR="00B9175F">
        <w:t xml:space="preserve">Professor, </w:t>
      </w:r>
      <w:r w:rsidR="00B9175F">
        <w:rPr>
          <w:lang w:val="en-US"/>
        </w:rPr>
        <w:t>University of Novi Sad, Faculty of Technical Sciences,Trg Dositeja Obradovića 6</w:t>
      </w:r>
      <w:r>
        <w:rPr>
          <w:lang w:val="en-US"/>
        </w:rPr>
        <w:t>,</w:t>
      </w:r>
      <w:r w:rsidR="00D513E6">
        <w:rPr>
          <w:lang w:val="en-US"/>
        </w:rPr>
        <w:t>Novi Sad</w:t>
      </w:r>
      <w:r w:rsidR="00882881">
        <w:rPr>
          <w:lang w:val="en-US"/>
        </w:rPr>
        <w:t>,</w:t>
      </w:r>
      <w:r w:rsidR="00882881" w:rsidRPr="00882881">
        <w:rPr>
          <w:lang w:val="en-US"/>
        </w:rPr>
        <w:t>zora@uns.ac.rs</w:t>
      </w:r>
      <w:r w:rsidR="00DD021A">
        <w:rPr>
          <w:lang w:val="en-US"/>
        </w:rPr>
        <w:t>:</w:t>
      </w:r>
    </w:p>
  </w:footnote>
  <w:footnote w:id="5">
    <w:p w:rsidR="00131262" w:rsidRDefault="00131262" w:rsidP="00DD021A">
      <w:pPr>
        <w:pStyle w:val="FootnoteText"/>
        <w:ind w:left="397" w:firstLine="0"/>
        <w:jc w:val="left"/>
      </w:pPr>
      <w:r>
        <w:rPr>
          <w:rStyle w:val="FootnoteReference"/>
        </w:rPr>
        <w:footnoteRef/>
      </w:r>
      <w:r w:rsidR="004D1768">
        <w:rPr>
          <w:lang w:val="en-US"/>
        </w:rPr>
        <w:t xml:space="preserve">Assistant </w:t>
      </w:r>
      <w:r w:rsidR="00B9175F">
        <w:rPr>
          <w:lang w:val="en-US"/>
        </w:rPr>
        <w:t>professor</w:t>
      </w:r>
      <w:r w:rsidR="004D1768">
        <w:rPr>
          <w:lang w:val="en-US"/>
        </w:rPr>
        <w:t xml:space="preserve">, </w:t>
      </w:r>
      <w:r w:rsidR="00B9175F">
        <w:rPr>
          <w:lang w:val="en-US"/>
        </w:rPr>
        <w:t xml:space="preserve">University of Novi Sad, Faculty of Economics, </w:t>
      </w:r>
      <w:r w:rsidR="00D513E6">
        <w:rPr>
          <w:lang w:val="en-US"/>
        </w:rPr>
        <w:t>Sentandrejski put 9-11</w:t>
      </w:r>
      <w:r w:rsidR="004D1768">
        <w:rPr>
          <w:lang w:val="en-US"/>
        </w:rPr>
        <w:t xml:space="preserve">, </w:t>
      </w:r>
      <w:r w:rsidR="00D513E6">
        <w:rPr>
          <w:lang w:val="en-US"/>
        </w:rPr>
        <w:t>Subotica</w:t>
      </w:r>
      <w:r>
        <w:rPr>
          <w:lang w:val="en-US"/>
        </w:rPr>
        <w:t>,</w:t>
      </w:r>
      <w:r w:rsidR="005F7510" w:rsidRPr="005F7510">
        <w:rPr>
          <w:lang w:val="en-US"/>
        </w:rPr>
        <w:t>viktorija.petrov@ef.uns.ac.rs</w:t>
      </w:r>
      <w:r w:rsidR="00DD021A">
        <w:rPr>
          <w:lang w:val="en-US"/>
        </w:rPr>
        <w:t>:</w:t>
      </w:r>
    </w:p>
    <w:p w:rsidR="00131262" w:rsidRDefault="00131262" w:rsidP="00131262">
      <w:pPr>
        <w:pStyle w:val="FootnoteText"/>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195E" w:rsidRDefault="00B8195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1262" w:rsidRPr="00001EB7" w:rsidRDefault="00131262" w:rsidP="00DB4B94">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bidi="ar-SA"/>
      </w:rPr>
      <w:t>The 7</w:t>
    </w:r>
    <w:r w:rsidRPr="00F516E5">
      <w:rPr>
        <w:i/>
        <w:noProof w:val="0"/>
        <w:szCs w:val="20"/>
        <w:vertAlign w:val="superscript"/>
        <w:lang w:val="en-US" w:bidi="ar-SA"/>
      </w:rPr>
      <w:t>th</w:t>
    </w:r>
    <w:r w:rsidR="00C25498">
      <w:rPr>
        <w:i/>
        <w:noProof w:val="0"/>
        <w:szCs w:val="20"/>
        <w:vertAlign w:val="superscript"/>
        <w:lang w:val="en-US" w:bidi="ar-SA"/>
      </w:rPr>
      <w:t xml:space="preserve"> </w:t>
    </w:r>
    <w:r>
      <w:rPr>
        <w:i/>
        <w:noProof w:val="0"/>
        <w:szCs w:val="20"/>
        <w:lang w:bidi="ar-SA"/>
      </w:rPr>
      <w:t>C</w:t>
    </w:r>
    <w:r>
      <w:rPr>
        <w:i/>
        <w:noProof w:val="0"/>
        <w:szCs w:val="20"/>
        <w:lang w:val="en-US" w:bidi="ar-SA"/>
      </w:rPr>
      <w:t>onference with International Participation</w:t>
    </w:r>
    <w:r w:rsidRPr="00001EB7">
      <w:rPr>
        <w:noProof w:val="0"/>
        <w:szCs w:val="20"/>
        <w:lang w:val="en-US" w:bidi="ar-SA"/>
      </w:rPr>
      <w:tab/>
    </w:r>
  </w:p>
  <w:p w:rsidR="00131262" w:rsidRPr="00001EB7" w:rsidRDefault="00131262" w:rsidP="00DB4B94">
    <w:pPr>
      <w:pBdr>
        <w:bottom w:val="single" w:sz="4" w:space="1" w:color="auto"/>
      </w:pBdr>
      <w:tabs>
        <w:tab w:val="right" w:pos="8334"/>
        <w:tab w:val="right" w:pos="9071"/>
      </w:tabs>
      <w:spacing w:after="0"/>
      <w:ind w:firstLine="0"/>
      <w:rPr>
        <w:i/>
        <w:noProof w:val="0"/>
        <w:szCs w:val="20"/>
        <w:lang w:val="sr-Cyrl-CS" w:bidi="ar-SA"/>
      </w:rPr>
    </w:pPr>
    <w:r>
      <w:rPr>
        <w:i/>
        <w:noProof w:val="0"/>
        <w:szCs w:val="20"/>
        <w:lang w:val="en-US" w:bidi="ar-SA"/>
      </w:rPr>
      <w:t>Knowledge Management and Informatics</w:t>
    </w:r>
    <w:r w:rsidRPr="00001EB7">
      <w:rPr>
        <w:i/>
        <w:noProof w:val="0"/>
        <w:sz w:val="16"/>
        <w:szCs w:val="16"/>
        <w:lang w:val="en-US" w:bidi="ar-SA"/>
      </w:rPr>
      <w:tab/>
    </w:r>
    <w:r w:rsidR="005E4D9E">
      <w:rPr>
        <w:i/>
        <w:noProof w:val="0"/>
        <w:sz w:val="16"/>
        <w:szCs w:val="16"/>
        <w:lang w:val="en-US" w:bidi="ar-SA"/>
      </w:rPr>
      <w:t>Vrnjačka Banja, June</w:t>
    </w:r>
    <w:r w:rsidR="009C0E2C">
      <w:rPr>
        <w:i/>
        <w:noProof w:val="0"/>
        <w:sz w:val="16"/>
        <w:szCs w:val="16"/>
        <w:lang w:val="en-US" w:bidi="ar-SA"/>
      </w:rPr>
      <w:t xml:space="preserve"> </w:t>
    </w:r>
    <w:r>
      <w:rPr>
        <w:i/>
        <w:noProof w:val="0"/>
        <w:sz w:val="16"/>
        <w:szCs w:val="16"/>
        <w:lang w:val="en-US" w:bidi="ar-SA"/>
      </w:rPr>
      <w:t>2021</w:t>
    </w:r>
  </w:p>
  <w:p w:rsidR="00131262" w:rsidRDefault="00131262">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1262" w:rsidRPr="00001EB7" w:rsidRDefault="00131262" w:rsidP="00001EB7">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bidi="ar-SA"/>
      </w:rPr>
      <w:t>The 7</w:t>
    </w:r>
    <w:r w:rsidRPr="00F516E5">
      <w:rPr>
        <w:i/>
        <w:noProof w:val="0"/>
        <w:szCs w:val="20"/>
        <w:vertAlign w:val="superscript"/>
        <w:lang w:val="en-US" w:bidi="ar-SA"/>
      </w:rPr>
      <w:t>th</w:t>
    </w:r>
    <w:r w:rsidR="00C25498">
      <w:rPr>
        <w:i/>
        <w:noProof w:val="0"/>
        <w:szCs w:val="20"/>
        <w:vertAlign w:val="superscript"/>
        <w:lang w:val="en-US" w:bidi="ar-SA"/>
      </w:rPr>
      <w:t xml:space="preserve"> </w:t>
    </w:r>
    <w:r>
      <w:rPr>
        <w:i/>
        <w:noProof w:val="0"/>
        <w:szCs w:val="20"/>
        <w:lang w:bidi="ar-SA"/>
      </w:rPr>
      <w:t>C</w:t>
    </w:r>
    <w:r>
      <w:rPr>
        <w:i/>
        <w:noProof w:val="0"/>
        <w:szCs w:val="20"/>
        <w:lang w:val="en-US" w:bidi="ar-SA"/>
      </w:rPr>
      <w:t>onference with International Participation</w:t>
    </w:r>
    <w:r w:rsidRPr="00001EB7">
      <w:rPr>
        <w:noProof w:val="0"/>
        <w:szCs w:val="20"/>
        <w:lang w:val="en-US" w:bidi="ar-SA"/>
      </w:rPr>
      <w:tab/>
    </w:r>
  </w:p>
  <w:p w:rsidR="00131262" w:rsidRPr="00001EB7" w:rsidRDefault="00131262" w:rsidP="00001EB7">
    <w:pPr>
      <w:pBdr>
        <w:bottom w:val="single" w:sz="4" w:space="1" w:color="auto"/>
      </w:pBdr>
      <w:tabs>
        <w:tab w:val="right" w:pos="8334"/>
        <w:tab w:val="right" w:pos="9071"/>
      </w:tabs>
      <w:spacing w:after="0"/>
      <w:ind w:firstLine="0"/>
      <w:rPr>
        <w:i/>
        <w:noProof w:val="0"/>
        <w:szCs w:val="20"/>
        <w:lang w:val="sr-Cyrl-CS" w:bidi="ar-SA"/>
      </w:rPr>
    </w:pPr>
    <w:r>
      <w:rPr>
        <w:i/>
        <w:noProof w:val="0"/>
        <w:szCs w:val="20"/>
        <w:lang w:val="en-US" w:bidi="ar-SA"/>
      </w:rPr>
      <w:t>Knowledge Management and Informatics</w:t>
    </w:r>
    <w:r w:rsidRPr="00001EB7">
      <w:rPr>
        <w:i/>
        <w:noProof w:val="0"/>
        <w:sz w:val="16"/>
        <w:szCs w:val="16"/>
        <w:lang w:val="en-US" w:bidi="ar-SA"/>
      </w:rPr>
      <w:tab/>
    </w:r>
    <w:r w:rsidR="00B8195E">
      <w:rPr>
        <w:i/>
        <w:noProof w:val="0"/>
        <w:sz w:val="16"/>
        <w:szCs w:val="16"/>
        <w:lang w:val="en-US" w:bidi="ar-SA"/>
      </w:rPr>
      <w:t>Vrnja</w:t>
    </w:r>
    <w:r w:rsidR="005E4D9E">
      <w:rPr>
        <w:i/>
        <w:noProof w:val="0"/>
        <w:sz w:val="16"/>
        <w:szCs w:val="16"/>
        <w:lang w:bidi="ar-SA"/>
      </w:rPr>
      <w:t>č</w:t>
    </w:r>
    <w:r w:rsidR="00B8195E">
      <w:rPr>
        <w:i/>
        <w:noProof w:val="0"/>
        <w:sz w:val="16"/>
        <w:szCs w:val="16"/>
        <w:lang w:val="en-US" w:bidi="ar-SA"/>
      </w:rPr>
      <w:t xml:space="preserve">ka Banja, June </w:t>
    </w:r>
    <w:r w:rsidRPr="00001EB7">
      <w:rPr>
        <w:i/>
        <w:noProof w:val="0"/>
        <w:sz w:val="16"/>
        <w:szCs w:val="16"/>
        <w:lang w:val="en-US" w:bidi="ar-SA"/>
      </w:rPr>
      <w:t>20</w:t>
    </w:r>
    <w:r>
      <w:rPr>
        <w:i/>
        <w:noProof w:val="0"/>
        <w:sz w:val="16"/>
        <w:szCs w:val="16"/>
        <w:lang w:val="en-US" w:bidi="ar-SA"/>
      </w:rPr>
      <w:t>21</w:t>
    </w:r>
  </w:p>
  <w:p w:rsidR="00131262" w:rsidRPr="00001EB7" w:rsidRDefault="00131262" w:rsidP="00001EB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EE8D11E"/>
    <w:lvl w:ilvl="0">
      <w:start w:val="1"/>
      <w:numFmt w:val="decimal"/>
      <w:pStyle w:val="ListNumber2"/>
      <w:lvlText w:val="%1."/>
      <w:lvlJc w:val="left"/>
      <w:pPr>
        <w:tabs>
          <w:tab w:val="num" w:pos="643"/>
        </w:tabs>
        <w:ind w:left="643" w:hanging="360"/>
      </w:pPr>
    </w:lvl>
  </w:abstractNum>
  <w:abstractNum w:abstractNumId="1">
    <w:nsid w:val="FFFFFF81"/>
    <w:multiLevelType w:val="singleLevel"/>
    <w:tmpl w:val="226A8856"/>
    <w:lvl w:ilvl="0">
      <w:start w:val="1"/>
      <w:numFmt w:val="bullet"/>
      <w:pStyle w:val="ListBullet4"/>
      <w:lvlText w:val=""/>
      <w:lvlJc w:val="left"/>
      <w:pPr>
        <w:tabs>
          <w:tab w:val="num" w:pos="1209"/>
        </w:tabs>
        <w:ind w:left="1209" w:hanging="360"/>
      </w:pPr>
      <w:rPr>
        <w:rFonts w:ascii="Symbol" w:hAnsi="Symbol" w:hint="default"/>
      </w:rPr>
    </w:lvl>
  </w:abstractNum>
  <w:abstractNum w:abstractNumId="2">
    <w:nsid w:val="FFFFFF82"/>
    <w:multiLevelType w:val="singleLevel"/>
    <w:tmpl w:val="3F8067A2"/>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FFFFFF83"/>
    <w:multiLevelType w:val="singleLevel"/>
    <w:tmpl w:val="185E1F7A"/>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C3D0AEFA"/>
    <w:lvl w:ilvl="0">
      <w:start w:val="1"/>
      <w:numFmt w:val="decimal"/>
      <w:pStyle w:val="ListNumber"/>
      <w:lvlText w:val="%1."/>
      <w:lvlJc w:val="left"/>
      <w:pPr>
        <w:tabs>
          <w:tab w:val="num" w:pos="360"/>
        </w:tabs>
        <w:ind w:left="360" w:hanging="360"/>
      </w:pPr>
    </w:lvl>
  </w:abstractNum>
  <w:abstractNum w:abstractNumId="5">
    <w:nsid w:val="FFFFFF89"/>
    <w:multiLevelType w:val="singleLevel"/>
    <w:tmpl w:val="FF3C5B9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2371BA7"/>
    <w:multiLevelType w:val="hybridMultilevel"/>
    <w:tmpl w:val="D8F03224"/>
    <w:lvl w:ilvl="0" w:tplc="012EAB18">
      <w:start w:val="1"/>
      <w:numFmt w:val="bullet"/>
      <w:pStyle w:val="Bullets"/>
      <w:lvlText w:val=""/>
      <w:lvlJc w:val="left"/>
      <w:pPr>
        <w:tabs>
          <w:tab w:val="num" w:pos="-282"/>
        </w:tabs>
        <w:ind w:left="-395" w:hanging="170"/>
      </w:pPr>
      <w:rPr>
        <w:rFonts w:ascii="Symbol" w:hAnsi="Symbol" w:hint="default"/>
      </w:rPr>
    </w:lvl>
    <w:lvl w:ilvl="1" w:tplc="04090003">
      <w:start w:val="1"/>
      <w:numFmt w:val="bullet"/>
      <w:lvlText w:val="o"/>
      <w:lvlJc w:val="left"/>
      <w:pPr>
        <w:tabs>
          <w:tab w:val="num" w:pos="875"/>
        </w:tabs>
        <w:ind w:left="875" w:hanging="360"/>
      </w:pPr>
      <w:rPr>
        <w:rFonts w:ascii="Courier New" w:hAnsi="Courier New" w:cs="Courier New" w:hint="default"/>
      </w:rPr>
    </w:lvl>
    <w:lvl w:ilvl="2" w:tplc="04090005" w:tentative="1">
      <w:start w:val="1"/>
      <w:numFmt w:val="bullet"/>
      <w:lvlText w:val=""/>
      <w:lvlJc w:val="left"/>
      <w:pPr>
        <w:tabs>
          <w:tab w:val="num" w:pos="1595"/>
        </w:tabs>
        <w:ind w:left="1595" w:hanging="360"/>
      </w:pPr>
      <w:rPr>
        <w:rFonts w:ascii="Wingdings" w:hAnsi="Wingdings" w:hint="default"/>
      </w:rPr>
    </w:lvl>
    <w:lvl w:ilvl="3" w:tplc="04090001" w:tentative="1">
      <w:start w:val="1"/>
      <w:numFmt w:val="bullet"/>
      <w:lvlText w:val=""/>
      <w:lvlJc w:val="left"/>
      <w:pPr>
        <w:tabs>
          <w:tab w:val="num" w:pos="2315"/>
        </w:tabs>
        <w:ind w:left="2315" w:hanging="360"/>
      </w:pPr>
      <w:rPr>
        <w:rFonts w:ascii="Symbol" w:hAnsi="Symbol" w:hint="default"/>
      </w:rPr>
    </w:lvl>
    <w:lvl w:ilvl="4" w:tplc="04090003" w:tentative="1">
      <w:start w:val="1"/>
      <w:numFmt w:val="bullet"/>
      <w:lvlText w:val="o"/>
      <w:lvlJc w:val="left"/>
      <w:pPr>
        <w:tabs>
          <w:tab w:val="num" w:pos="3035"/>
        </w:tabs>
        <w:ind w:left="3035" w:hanging="360"/>
      </w:pPr>
      <w:rPr>
        <w:rFonts w:ascii="Courier New" w:hAnsi="Courier New" w:cs="Courier New" w:hint="default"/>
      </w:rPr>
    </w:lvl>
    <w:lvl w:ilvl="5" w:tplc="04090005" w:tentative="1">
      <w:start w:val="1"/>
      <w:numFmt w:val="bullet"/>
      <w:lvlText w:val=""/>
      <w:lvlJc w:val="left"/>
      <w:pPr>
        <w:tabs>
          <w:tab w:val="num" w:pos="3755"/>
        </w:tabs>
        <w:ind w:left="3755" w:hanging="360"/>
      </w:pPr>
      <w:rPr>
        <w:rFonts w:ascii="Wingdings" w:hAnsi="Wingdings" w:hint="default"/>
      </w:rPr>
    </w:lvl>
    <w:lvl w:ilvl="6" w:tplc="04090001" w:tentative="1">
      <w:start w:val="1"/>
      <w:numFmt w:val="bullet"/>
      <w:lvlText w:val=""/>
      <w:lvlJc w:val="left"/>
      <w:pPr>
        <w:tabs>
          <w:tab w:val="num" w:pos="4475"/>
        </w:tabs>
        <w:ind w:left="4475" w:hanging="360"/>
      </w:pPr>
      <w:rPr>
        <w:rFonts w:ascii="Symbol" w:hAnsi="Symbol" w:hint="default"/>
      </w:rPr>
    </w:lvl>
    <w:lvl w:ilvl="7" w:tplc="04090003" w:tentative="1">
      <w:start w:val="1"/>
      <w:numFmt w:val="bullet"/>
      <w:lvlText w:val="o"/>
      <w:lvlJc w:val="left"/>
      <w:pPr>
        <w:tabs>
          <w:tab w:val="num" w:pos="5195"/>
        </w:tabs>
        <w:ind w:left="5195" w:hanging="360"/>
      </w:pPr>
      <w:rPr>
        <w:rFonts w:ascii="Courier New" w:hAnsi="Courier New" w:cs="Courier New" w:hint="default"/>
      </w:rPr>
    </w:lvl>
    <w:lvl w:ilvl="8" w:tplc="04090005" w:tentative="1">
      <w:start w:val="1"/>
      <w:numFmt w:val="bullet"/>
      <w:lvlText w:val=""/>
      <w:lvlJc w:val="left"/>
      <w:pPr>
        <w:tabs>
          <w:tab w:val="num" w:pos="5915"/>
        </w:tabs>
        <w:ind w:left="5915" w:hanging="360"/>
      </w:pPr>
      <w:rPr>
        <w:rFonts w:ascii="Wingdings" w:hAnsi="Wingdings" w:hint="default"/>
      </w:rPr>
    </w:lvl>
  </w:abstractNum>
  <w:abstractNum w:abstractNumId="7">
    <w:nsid w:val="1249411B"/>
    <w:multiLevelType w:val="hybridMultilevel"/>
    <w:tmpl w:val="D710F99C"/>
    <w:lvl w:ilvl="0" w:tplc="04090001">
      <w:start w:val="1"/>
      <w:numFmt w:val="bullet"/>
      <w:lvlText w:val=""/>
      <w:lvlJc w:val="left"/>
      <w:pPr>
        <w:ind w:left="1117" w:hanging="360"/>
      </w:pPr>
      <w:rPr>
        <w:rFonts w:ascii="Symbol" w:hAnsi="Symbol" w:hint="default"/>
      </w:rPr>
    </w:lvl>
    <w:lvl w:ilvl="1" w:tplc="04090003" w:tentative="1">
      <w:start w:val="1"/>
      <w:numFmt w:val="bullet"/>
      <w:lvlText w:val="o"/>
      <w:lvlJc w:val="left"/>
      <w:pPr>
        <w:ind w:left="1837" w:hanging="360"/>
      </w:pPr>
      <w:rPr>
        <w:rFonts w:ascii="Courier New" w:hAnsi="Courier New" w:cs="Courier New" w:hint="default"/>
      </w:rPr>
    </w:lvl>
    <w:lvl w:ilvl="2" w:tplc="04090005" w:tentative="1">
      <w:start w:val="1"/>
      <w:numFmt w:val="bullet"/>
      <w:lvlText w:val=""/>
      <w:lvlJc w:val="left"/>
      <w:pPr>
        <w:ind w:left="2557" w:hanging="360"/>
      </w:pPr>
      <w:rPr>
        <w:rFonts w:ascii="Wingdings" w:hAnsi="Wingdings" w:hint="default"/>
      </w:rPr>
    </w:lvl>
    <w:lvl w:ilvl="3" w:tplc="04090001" w:tentative="1">
      <w:start w:val="1"/>
      <w:numFmt w:val="bullet"/>
      <w:lvlText w:val=""/>
      <w:lvlJc w:val="left"/>
      <w:pPr>
        <w:ind w:left="3277" w:hanging="360"/>
      </w:pPr>
      <w:rPr>
        <w:rFonts w:ascii="Symbol" w:hAnsi="Symbol" w:hint="default"/>
      </w:rPr>
    </w:lvl>
    <w:lvl w:ilvl="4" w:tplc="04090003" w:tentative="1">
      <w:start w:val="1"/>
      <w:numFmt w:val="bullet"/>
      <w:lvlText w:val="o"/>
      <w:lvlJc w:val="left"/>
      <w:pPr>
        <w:ind w:left="3997" w:hanging="360"/>
      </w:pPr>
      <w:rPr>
        <w:rFonts w:ascii="Courier New" w:hAnsi="Courier New" w:cs="Courier New" w:hint="default"/>
      </w:rPr>
    </w:lvl>
    <w:lvl w:ilvl="5" w:tplc="04090005" w:tentative="1">
      <w:start w:val="1"/>
      <w:numFmt w:val="bullet"/>
      <w:lvlText w:val=""/>
      <w:lvlJc w:val="left"/>
      <w:pPr>
        <w:ind w:left="4717" w:hanging="360"/>
      </w:pPr>
      <w:rPr>
        <w:rFonts w:ascii="Wingdings" w:hAnsi="Wingdings" w:hint="default"/>
      </w:rPr>
    </w:lvl>
    <w:lvl w:ilvl="6" w:tplc="04090001" w:tentative="1">
      <w:start w:val="1"/>
      <w:numFmt w:val="bullet"/>
      <w:lvlText w:val=""/>
      <w:lvlJc w:val="left"/>
      <w:pPr>
        <w:ind w:left="5437" w:hanging="360"/>
      </w:pPr>
      <w:rPr>
        <w:rFonts w:ascii="Symbol" w:hAnsi="Symbol" w:hint="default"/>
      </w:rPr>
    </w:lvl>
    <w:lvl w:ilvl="7" w:tplc="04090003" w:tentative="1">
      <w:start w:val="1"/>
      <w:numFmt w:val="bullet"/>
      <w:lvlText w:val="o"/>
      <w:lvlJc w:val="left"/>
      <w:pPr>
        <w:ind w:left="6157" w:hanging="360"/>
      </w:pPr>
      <w:rPr>
        <w:rFonts w:ascii="Courier New" w:hAnsi="Courier New" w:cs="Courier New" w:hint="default"/>
      </w:rPr>
    </w:lvl>
    <w:lvl w:ilvl="8" w:tplc="04090005" w:tentative="1">
      <w:start w:val="1"/>
      <w:numFmt w:val="bullet"/>
      <w:lvlText w:val=""/>
      <w:lvlJc w:val="left"/>
      <w:pPr>
        <w:ind w:left="6877" w:hanging="360"/>
      </w:pPr>
      <w:rPr>
        <w:rFonts w:ascii="Wingdings" w:hAnsi="Wingdings" w:hint="default"/>
      </w:rPr>
    </w:lvl>
  </w:abstractNum>
  <w:abstractNum w:abstractNumId="8">
    <w:nsid w:val="15DC438F"/>
    <w:multiLevelType w:val="hybridMultilevel"/>
    <w:tmpl w:val="08840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255129D"/>
    <w:multiLevelType w:val="multilevel"/>
    <w:tmpl w:val="FE8611A0"/>
    <w:lvl w:ilvl="0">
      <w:start w:val="1"/>
      <w:numFmt w:val="decimal"/>
      <w:pStyle w:val="Nabrajanjepobrojevima"/>
      <w:lvlText w:val="%1."/>
      <w:lvlJc w:val="left"/>
      <w:pPr>
        <w:tabs>
          <w:tab w:val="num" w:pos="113"/>
        </w:tabs>
        <w:ind w:left="340" w:hanging="340"/>
      </w:pPr>
      <w:rPr>
        <w:rFonts w:hint="default"/>
      </w:rPr>
    </w:lvl>
    <w:lvl w:ilvl="1">
      <w:start w:val="1"/>
      <w:numFmt w:val="decimal"/>
      <w:lvlText w:val="%1.%2."/>
      <w:lvlJc w:val="left"/>
      <w:pPr>
        <w:ind w:left="113" w:firstLine="170"/>
      </w:pPr>
      <w:rPr>
        <w:rFonts w:hint="default"/>
      </w:rPr>
    </w:lvl>
    <w:lvl w:ilvl="2">
      <w:start w:val="1"/>
      <w:numFmt w:val="decimal"/>
      <w:lvlText w:val="%1.%2.%3."/>
      <w:lvlJc w:val="left"/>
      <w:pPr>
        <w:ind w:left="1814" w:hanging="1247"/>
      </w:pPr>
      <w:rPr>
        <w:rFonts w:hint="default"/>
      </w:rPr>
    </w:lvl>
    <w:lvl w:ilvl="3">
      <w:start w:val="1"/>
      <w:numFmt w:val="decimal"/>
      <w:lvlText w:val="%1.%2.%3.%4."/>
      <w:lvlJc w:val="left"/>
      <w:pPr>
        <w:ind w:left="1444" w:hanging="648"/>
      </w:pPr>
      <w:rPr>
        <w:rFonts w:hint="default"/>
      </w:rPr>
    </w:lvl>
    <w:lvl w:ilvl="4">
      <w:start w:val="1"/>
      <w:numFmt w:val="decimal"/>
      <w:lvlText w:val="%1.%2.%3.%4.%5."/>
      <w:lvlJc w:val="left"/>
      <w:pPr>
        <w:ind w:left="1948" w:hanging="792"/>
      </w:pPr>
      <w:rPr>
        <w:rFonts w:hint="default"/>
      </w:rPr>
    </w:lvl>
    <w:lvl w:ilvl="5">
      <w:start w:val="1"/>
      <w:numFmt w:val="decimal"/>
      <w:lvlText w:val="%1.%2.%3.%4.%5.%6."/>
      <w:lvlJc w:val="left"/>
      <w:pPr>
        <w:ind w:left="2452" w:hanging="936"/>
      </w:pPr>
      <w:rPr>
        <w:rFonts w:hint="default"/>
      </w:rPr>
    </w:lvl>
    <w:lvl w:ilvl="6">
      <w:start w:val="1"/>
      <w:numFmt w:val="decimal"/>
      <w:lvlText w:val="%1.%2.%3.%4.%5.%6.%7."/>
      <w:lvlJc w:val="left"/>
      <w:pPr>
        <w:ind w:left="2956" w:hanging="1080"/>
      </w:pPr>
      <w:rPr>
        <w:rFonts w:hint="default"/>
      </w:rPr>
    </w:lvl>
    <w:lvl w:ilvl="7">
      <w:start w:val="1"/>
      <w:numFmt w:val="decimal"/>
      <w:lvlText w:val="%1.%2.%3.%4.%5.%6.%7.%8."/>
      <w:lvlJc w:val="left"/>
      <w:pPr>
        <w:ind w:left="3460" w:hanging="1224"/>
      </w:pPr>
      <w:rPr>
        <w:rFonts w:hint="default"/>
      </w:rPr>
    </w:lvl>
    <w:lvl w:ilvl="8">
      <w:start w:val="1"/>
      <w:numFmt w:val="decimal"/>
      <w:lvlText w:val="%1.%2.%3.%4.%5.%6.%7.%8.%9."/>
      <w:lvlJc w:val="left"/>
      <w:pPr>
        <w:ind w:left="4036" w:hanging="1440"/>
      </w:pPr>
      <w:rPr>
        <w:rFonts w:hint="default"/>
      </w:rPr>
    </w:lvl>
  </w:abstractNum>
  <w:abstractNum w:abstractNumId="10">
    <w:nsid w:val="341F37B5"/>
    <w:multiLevelType w:val="hybridMultilevel"/>
    <w:tmpl w:val="5A280990"/>
    <w:lvl w:ilvl="0" w:tplc="04090001">
      <w:start w:val="1"/>
      <w:numFmt w:val="bullet"/>
      <w:lvlText w:val=""/>
      <w:lvlJc w:val="left"/>
      <w:pPr>
        <w:ind w:left="1117" w:hanging="360"/>
      </w:pPr>
      <w:rPr>
        <w:rFonts w:ascii="Symbol" w:hAnsi="Symbol" w:hint="default"/>
      </w:rPr>
    </w:lvl>
    <w:lvl w:ilvl="1" w:tplc="04090003" w:tentative="1">
      <w:start w:val="1"/>
      <w:numFmt w:val="bullet"/>
      <w:lvlText w:val="o"/>
      <w:lvlJc w:val="left"/>
      <w:pPr>
        <w:ind w:left="1837" w:hanging="360"/>
      </w:pPr>
      <w:rPr>
        <w:rFonts w:ascii="Courier New" w:hAnsi="Courier New" w:cs="Courier New" w:hint="default"/>
      </w:rPr>
    </w:lvl>
    <w:lvl w:ilvl="2" w:tplc="04090005" w:tentative="1">
      <w:start w:val="1"/>
      <w:numFmt w:val="bullet"/>
      <w:lvlText w:val=""/>
      <w:lvlJc w:val="left"/>
      <w:pPr>
        <w:ind w:left="2557" w:hanging="360"/>
      </w:pPr>
      <w:rPr>
        <w:rFonts w:ascii="Wingdings" w:hAnsi="Wingdings" w:hint="default"/>
      </w:rPr>
    </w:lvl>
    <w:lvl w:ilvl="3" w:tplc="04090001" w:tentative="1">
      <w:start w:val="1"/>
      <w:numFmt w:val="bullet"/>
      <w:lvlText w:val=""/>
      <w:lvlJc w:val="left"/>
      <w:pPr>
        <w:ind w:left="3277" w:hanging="360"/>
      </w:pPr>
      <w:rPr>
        <w:rFonts w:ascii="Symbol" w:hAnsi="Symbol" w:hint="default"/>
      </w:rPr>
    </w:lvl>
    <w:lvl w:ilvl="4" w:tplc="04090003" w:tentative="1">
      <w:start w:val="1"/>
      <w:numFmt w:val="bullet"/>
      <w:lvlText w:val="o"/>
      <w:lvlJc w:val="left"/>
      <w:pPr>
        <w:ind w:left="3997" w:hanging="360"/>
      </w:pPr>
      <w:rPr>
        <w:rFonts w:ascii="Courier New" w:hAnsi="Courier New" w:cs="Courier New" w:hint="default"/>
      </w:rPr>
    </w:lvl>
    <w:lvl w:ilvl="5" w:tplc="04090005" w:tentative="1">
      <w:start w:val="1"/>
      <w:numFmt w:val="bullet"/>
      <w:lvlText w:val=""/>
      <w:lvlJc w:val="left"/>
      <w:pPr>
        <w:ind w:left="4717" w:hanging="360"/>
      </w:pPr>
      <w:rPr>
        <w:rFonts w:ascii="Wingdings" w:hAnsi="Wingdings" w:hint="default"/>
      </w:rPr>
    </w:lvl>
    <w:lvl w:ilvl="6" w:tplc="04090001" w:tentative="1">
      <w:start w:val="1"/>
      <w:numFmt w:val="bullet"/>
      <w:lvlText w:val=""/>
      <w:lvlJc w:val="left"/>
      <w:pPr>
        <w:ind w:left="5437" w:hanging="360"/>
      </w:pPr>
      <w:rPr>
        <w:rFonts w:ascii="Symbol" w:hAnsi="Symbol" w:hint="default"/>
      </w:rPr>
    </w:lvl>
    <w:lvl w:ilvl="7" w:tplc="04090003" w:tentative="1">
      <w:start w:val="1"/>
      <w:numFmt w:val="bullet"/>
      <w:lvlText w:val="o"/>
      <w:lvlJc w:val="left"/>
      <w:pPr>
        <w:ind w:left="6157" w:hanging="360"/>
      </w:pPr>
      <w:rPr>
        <w:rFonts w:ascii="Courier New" w:hAnsi="Courier New" w:cs="Courier New" w:hint="default"/>
      </w:rPr>
    </w:lvl>
    <w:lvl w:ilvl="8" w:tplc="04090005" w:tentative="1">
      <w:start w:val="1"/>
      <w:numFmt w:val="bullet"/>
      <w:lvlText w:val=""/>
      <w:lvlJc w:val="left"/>
      <w:pPr>
        <w:ind w:left="6877" w:hanging="360"/>
      </w:pPr>
      <w:rPr>
        <w:rFonts w:ascii="Wingdings" w:hAnsi="Wingdings" w:hint="default"/>
      </w:rPr>
    </w:lvl>
  </w:abstractNum>
  <w:abstractNum w:abstractNumId="11">
    <w:nsid w:val="37FC055A"/>
    <w:multiLevelType w:val="multilevel"/>
    <w:tmpl w:val="715A0008"/>
    <w:lvl w:ilvl="0">
      <w:start w:val="1"/>
      <w:numFmt w:val="bullet"/>
      <w:pStyle w:val="Nabrajanjepotackama"/>
      <w:lvlText w:val=""/>
      <w:lvlJc w:val="left"/>
      <w:pPr>
        <w:tabs>
          <w:tab w:val="num" w:pos="567"/>
        </w:tabs>
        <w:ind w:left="454" w:hanging="170"/>
      </w:pPr>
      <w:rPr>
        <w:rFonts w:ascii="Symbol" w:hAnsi="Symbol" w:hint="default"/>
        <w:sz w:val="16"/>
      </w:rPr>
    </w:lvl>
    <w:lvl w:ilvl="1">
      <w:start w:val="1"/>
      <w:numFmt w:val="bullet"/>
      <w:lvlText w:val=""/>
      <w:lvlJc w:val="left"/>
      <w:pPr>
        <w:ind w:left="737" w:hanging="170"/>
      </w:pPr>
      <w:rPr>
        <w:rFonts w:ascii="Symbol" w:hAnsi="Symbol" w:hint="default"/>
        <w:sz w:val="16"/>
      </w:rPr>
    </w:lvl>
    <w:lvl w:ilvl="2">
      <w:start w:val="1"/>
      <w:numFmt w:val="bullet"/>
      <w:lvlText w:val=""/>
      <w:lvlJc w:val="left"/>
      <w:pPr>
        <w:ind w:left="1021" w:hanging="170"/>
      </w:pPr>
      <w:rPr>
        <w:rFonts w:ascii="Symbol" w:hAnsi="Symbol" w:hint="default"/>
        <w:sz w:val="16"/>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2">
    <w:nsid w:val="39083408"/>
    <w:multiLevelType w:val="hybridMultilevel"/>
    <w:tmpl w:val="D908BFD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3">
    <w:nsid w:val="3DD006D2"/>
    <w:multiLevelType w:val="hybridMultilevel"/>
    <w:tmpl w:val="36FA7C92"/>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4">
    <w:nsid w:val="43211544"/>
    <w:multiLevelType w:val="multilevel"/>
    <w:tmpl w:val="62467682"/>
    <w:lvl w:ilvl="0">
      <w:start w:val="1"/>
      <w:numFmt w:val="decimal"/>
      <w:pStyle w:val="Heading2"/>
      <w:lvlText w:val="%1."/>
      <w:lvlJc w:val="left"/>
      <w:pPr>
        <w:ind w:left="360" w:hanging="360"/>
      </w:pPr>
      <w:rPr>
        <w:rFonts w:hint="default"/>
      </w:rPr>
    </w:lvl>
    <w:lvl w:ilvl="1">
      <w:start w:val="1"/>
      <w:numFmt w:val="decimal"/>
      <w:pStyle w:val="Heading3"/>
      <w:lvlText w:val="%1.%2."/>
      <w:lvlJc w:val="left"/>
      <w:pPr>
        <w:ind w:left="792" w:hanging="432"/>
      </w:pPr>
      <w:rPr>
        <w:rFonts w:hint="default"/>
      </w:rPr>
    </w:lvl>
    <w:lvl w:ilvl="2">
      <w:start w:val="1"/>
      <w:numFmt w:val="decimal"/>
      <w:pStyle w:val="Heading4"/>
      <w:lvlText w:val="%1.%2.%3."/>
      <w:lvlJc w:val="left"/>
      <w:pPr>
        <w:ind w:left="6458"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nsid w:val="4B7D0882"/>
    <w:multiLevelType w:val="multilevel"/>
    <w:tmpl w:val="00000002"/>
    <w:name w:val="HTML-List2"/>
    <w:lvl w:ilvl="0">
      <w:start w:val="1"/>
      <w:numFmt w:val="bullet"/>
      <w:lvlText w:val="·"/>
      <w:lvlJc w:val="left"/>
      <w:rPr>
        <w:rFonts w:ascii="Symbol" w:hAnsi="Symbol" w:cs="Symbol"/>
      </w:rPr>
    </w:lvl>
    <w:lvl w:ilvl="1">
      <w:start w:val="1"/>
      <w:numFmt w:val="bullet"/>
      <w:lvlText w:val="·"/>
      <w:lvlJc w:val="left"/>
      <w:rPr>
        <w:rFonts w:ascii="Symbol" w:hAnsi="Symbol" w:cs="Symbol"/>
      </w:rPr>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6">
    <w:nsid w:val="503964F8"/>
    <w:multiLevelType w:val="multilevel"/>
    <w:tmpl w:val="03F6564A"/>
    <w:lvl w:ilvl="0">
      <w:start w:val="1"/>
      <w:numFmt w:val="decimal"/>
      <w:lvlText w:val="%1."/>
      <w:lvlJc w:val="left"/>
      <w:pPr>
        <w:ind w:left="360" w:hanging="360"/>
      </w:pPr>
      <w:rPr>
        <w:rFonts w:hint="default"/>
      </w:rPr>
    </w:lvl>
    <w:lvl w:ilvl="1">
      <w:start w:val="1"/>
      <w:numFmt w:val="decimal"/>
      <w:isLgl/>
      <w:lvlText w:val="%1.%2"/>
      <w:lvlJc w:val="left"/>
      <w:pPr>
        <w:ind w:left="624" w:hanging="624"/>
      </w:pPr>
      <w:rPr>
        <w:rFonts w:hint="default"/>
      </w:rPr>
    </w:lvl>
    <w:lvl w:ilvl="2">
      <w:start w:val="1"/>
      <w:numFmt w:val="decimal"/>
      <w:isLgl/>
      <w:lvlText w:val="%1.%2.%3"/>
      <w:lvlJc w:val="left"/>
      <w:pPr>
        <w:ind w:left="1021" w:hanging="1021"/>
      </w:pPr>
      <w:rPr>
        <w:rFonts w:hint="default"/>
      </w:rPr>
    </w:lvl>
    <w:lvl w:ilvl="3">
      <w:start w:val="1"/>
      <w:numFmt w:val="decimal"/>
      <w:lvlText w:val="%1.%2.%3.%4"/>
      <w:lvlJc w:val="left"/>
      <w:pPr>
        <w:ind w:left="227" w:hanging="227"/>
      </w:pPr>
      <w:rPr>
        <w:rFonts w:hint="default"/>
      </w:rPr>
    </w:lvl>
    <w:lvl w:ilvl="4">
      <w:start w:val="1"/>
      <w:numFmt w:val="decimal"/>
      <w:pStyle w:val="Heading5"/>
      <w:lvlText w:val="%1.%2.%3.%4.%5"/>
      <w:lvlJc w:val="left"/>
      <w:pPr>
        <w:ind w:left="227" w:hanging="227"/>
      </w:pPr>
      <w:rPr>
        <w:rFonts w:hint="default"/>
      </w:rPr>
    </w:lvl>
    <w:lvl w:ilvl="5">
      <w:start w:val="1"/>
      <w:numFmt w:val="decimal"/>
      <w:pStyle w:val="Heading6"/>
      <w:lvlText w:val="%1.%2.%3.%4.%5.%6"/>
      <w:lvlJc w:val="left"/>
      <w:pPr>
        <w:ind w:left="227" w:hanging="227"/>
      </w:pPr>
      <w:rPr>
        <w:rFonts w:hint="default"/>
      </w:rPr>
    </w:lvl>
    <w:lvl w:ilvl="6">
      <w:start w:val="1"/>
      <w:numFmt w:val="decimal"/>
      <w:pStyle w:val="Heading7"/>
      <w:lvlText w:val="%1.%2.%3.%4.%5.%6.%7"/>
      <w:lvlJc w:val="left"/>
      <w:pPr>
        <w:ind w:left="227" w:hanging="227"/>
      </w:pPr>
      <w:rPr>
        <w:rFonts w:hint="default"/>
      </w:rPr>
    </w:lvl>
    <w:lvl w:ilvl="7">
      <w:start w:val="1"/>
      <w:numFmt w:val="decimal"/>
      <w:pStyle w:val="Heading8"/>
      <w:lvlText w:val="%1.%2.%3.%4.%5.%6.%7.%8"/>
      <w:lvlJc w:val="left"/>
      <w:pPr>
        <w:ind w:left="227" w:hanging="227"/>
      </w:pPr>
      <w:rPr>
        <w:rFonts w:hint="default"/>
      </w:rPr>
    </w:lvl>
    <w:lvl w:ilvl="8">
      <w:start w:val="1"/>
      <w:numFmt w:val="decimal"/>
      <w:pStyle w:val="Heading9"/>
      <w:lvlText w:val="%1.%2.%3.%4.%5.%6.%7.%8.%9"/>
      <w:lvlJc w:val="left"/>
      <w:pPr>
        <w:ind w:left="227" w:hanging="227"/>
      </w:pPr>
      <w:rPr>
        <w:rFonts w:hint="default"/>
      </w:rPr>
    </w:lvl>
  </w:abstractNum>
  <w:abstractNum w:abstractNumId="17">
    <w:nsid w:val="52CA544A"/>
    <w:multiLevelType w:val="singleLevel"/>
    <w:tmpl w:val="AED6D67E"/>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18">
    <w:nsid w:val="6BD3390B"/>
    <w:multiLevelType w:val="hybridMultilevel"/>
    <w:tmpl w:val="003E950A"/>
    <w:lvl w:ilvl="0" w:tplc="2D9E5042">
      <w:start w:val="1"/>
      <w:numFmt w:val="decimal"/>
      <w:pStyle w:val="References0"/>
      <w:lvlText w:val="[%1]"/>
      <w:lvlJc w:val="left"/>
      <w:pPr>
        <w:ind w:left="36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num w:numId="1">
    <w:abstractNumId w:val="5"/>
  </w:num>
  <w:num w:numId="2">
    <w:abstractNumId w:val="3"/>
  </w:num>
  <w:num w:numId="3">
    <w:abstractNumId w:val="2"/>
  </w:num>
  <w:num w:numId="4">
    <w:abstractNumId w:val="1"/>
  </w:num>
  <w:num w:numId="5">
    <w:abstractNumId w:val="4"/>
  </w:num>
  <w:num w:numId="6">
    <w:abstractNumId w:val="0"/>
  </w:num>
  <w:num w:numId="7">
    <w:abstractNumId w:val="16"/>
  </w:num>
  <w:num w:numId="8">
    <w:abstractNumId w:val="18"/>
  </w:num>
  <w:num w:numId="9">
    <w:abstractNumId w:val="11"/>
  </w:num>
  <w:num w:numId="10">
    <w:abstractNumId w:val="9"/>
  </w:num>
  <w:num w:numId="11">
    <w:abstractNumId w:val="6"/>
  </w:num>
  <w:num w:numId="12">
    <w:abstractNumId w:val="14"/>
  </w:num>
  <w:num w:numId="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num>
  <w:num w:numId="15">
    <w:abstractNumId w:val="12"/>
  </w:num>
  <w:num w:numId="16">
    <w:abstractNumId w:val="8"/>
  </w:num>
  <w:num w:numId="17">
    <w:abstractNumId w:val="10"/>
  </w:num>
  <w:num w:numId="18">
    <w:abstractNumId w:val="7"/>
  </w:num>
  <w:num w:numId="19">
    <w:abstractNumId w:val="15"/>
  </w:num>
  <w:num w:numId="20">
    <w:abstractNumId w:val="17"/>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mirrorMargins/>
  <w:attachedTemplate r:id="rId1"/>
  <w:stylePaneFormatFilter w:val="3F08"/>
  <w:defaultTabStop w:val="709"/>
  <w:hyphenationZone w:val="425"/>
  <w:drawingGridHorizontalSpacing w:val="110"/>
  <w:displayHorizontalDrawingGridEvery w:val="2"/>
  <w:characterSpacingControl w:val="doNotCompress"/>
  <w:hdrShapeDefaults>
    <o:shapedefaults v:ext="edit" spidmax="26626"/>
  </w:hdrShapeDefaults>
  <w:footnotePr>
    <w:footnote w:id="0"/>
    <w:footnote w:id="1"/>
  </w:footnotePr>
  <w:endnotePr>
    <w:endnote w:id="0"/>
    <w:endnote w:id="1"/>
  </w:endnotePr>
  <w:compat/>
  <w:rsids>
    <w:rsidRoot w:val="00DF5319"/>
    <w:rsid w:val="00001EB7"/>
    <w:rsid w:val="00003F0C"/>
    <w:rsid w:val="0000665C"/>
    <w:rsid w:val="00016DFD"/>
    <w:rsid w:val="0002693E"/>
    <w:rsid w:val="00037357"/>
    <w:rsid w:val="000406C4"/>
    <w:rsid w:val="000448B3"/>
    <w:rsid w:val="00044D1B"/>
    <w:rsid w:val="00054E66"/>
    <w:rsid w:val="00055E90"/>
    <w:rsid w:val="00057CBF"/>
    <w:rsid w:val="00057FE6"/>
    <w:rsid w:val="000626F2"/>
    <w:rsid w:val="00062B8F"/>
    <w:rsid w:val="0006468D"/>
    <w:rsid w:val="00066A33"/>
    <w:rsid w:val="00081586"/>
    <w:rsid w:val="00081DAB"/>
    <w:rsid w:val="00093CB6"/>
    <w:rsid w:val="000B03F6"/>
    <w:rsid w:val="000B52B1"/>
    <w:rsid w:val="000B7235"/>
    <w:rsid w:val="000C67B9"/>
    <w:rsid w:val="000C695A"/>
    <w:rsid w:val="000C7E07"/>
    <w:rsid w:val="000D415D"/>
    <w:rsid w:val="000D6C9C"/>
    <w:rsid w:val="000E0E7C"/>
    <w:rsid w:val="00100F7D"/>
    <w:rsid w:val="0010734D"/>
    <w:rsid w:val="00123EDF"/>
    <w:rsid w:val="00131262"/>
    <w:rsid w:val="00137D6D"/>
    <w:rsid w:val="001434B2"/>
    <w:rsid w:val="00145BA2"/>
    <w:rsid w:val="001705C9"/>
    <w:rsid w:val="00175587"/>
    <w:rsid w:val="0018599B"/>
    <w:rsid w:val="001873E9"/>
    <w:rsid w:val="00194C0A"/>
    <w:rsid w:val="00196FDF"/>
    <w:rsid w:val="001A6AD9"/>
    <w:rsid w:val="001B1E0E"/>
    <w:rsid w:val="001B26FA"/>
    <w:rsid w:val="001B4C5B"/>
    <w:rsid w:val="001C232B"/>
    <w:rsid w:val="001C5349"/>
    <w:rsid w:val="001D584E"/>
    <w:rsid w:val="001D5925"/>
    <w:rsid w:val="001F2712"/>
    <w:rsid w:val="001F2C78"/>
    <w:rsid w:val="002070C9"/>
    <w:rsid w:val="00210EBF"/>
    <w:rsid w:val="00221ABC"/>
    <w:rsid w:val="00227001"/>
    <w:rsid w:val="0023036D"/>
    <w:rsid w:val="00251AB7"/>
    <w:rsid w:val="00255D44"/>
    <w:rsid w:val="00256F99"/>
    <w:rsid w:val="00265F81"/>
    <w:rsid w:val="0028636A"/>
    <w:rsid w:val="00287090"/>
    <w:rsid w:val="00291B2E"/>
    <w:rsid w:val="002B540E"/>
    <w:rsid w:val="002C7A76"/>
    <w:rsid w:val="002D099A"/>
    <w:rsid w:val="002D37FC"/>
    <w:rsid w:val="002D49C7"/>
    <w:rsid w:val="002D5F5D"/>
    <w:rsid w:val="002E6B1D"/>
    <w:rsid w:val="002F0DC9"/>
    <w:rsid w:val="002F25B1"/>
    <w:rsid w:val="002F6D95"/>
    <w:rsid w:val="002F75D5"/>
    <w:rsid w:val="00303D94"/>
    <w:rsid w:val="00305828"/>
    <w:rsid w:val="00311420"/>
    <w:rsid w:val="00321B99"/>
    <w:rsid w:val="00323A22"/>
    <w:rsid w:val="00342E3F"/>
    <w:rsid w:val="00343E8D"/>
    <w:rsid w:val="00355B69"/>
    <w:rsid w:val="00361406"/>
    <w:rsid w:val="00370CA1"/>
    <w:rsid w:val="00371BDC"/>
    <w:rsid w:val="00374B5D"/>
    <w:rsid w:val="00376395"/>
    <w:rsid w:val="00377976"/>
    <w:rsid w:val="00380569"/>
    <w:rsid w:val="003910DC"/>
    <w:rsid w:val="003D13AF"/>
    <w:rsid w:val="003D5827"/>
    <w:rsid w:val="003D5CB8"/>
    <w:rsid w:val="003F1A27"/>
    <w:rsid w:val="003F3410"/>
    <w:rsid w:val="003F3806"/>
    <w:rsid w:val="003F52C7"/>
    <w:rsid w:val="00405089"/>
    <w:rsid w:val="00412C3E"/>
    <w:rsid w:val="00415FE0"/>
    <w:rsid w:val="004161B2"/>
    <w:rsid w:val="00416F60"/>
    <w:rsid w:val="00434A85"/>
    <w:rsid w:val="004413F9"/>
    <w:rsid w:val="00441DA5"/>
    <w:rsid w:val="0045059B"/>
    <w:rsid w:val="00454939"/>
    <w:rsid w:val="00463F62"/>
    <w:rsid w:val="004749B2"/>
    <w:rsid w:val="0047582F"/>
    <w:rsid w:val="00477162"/>
    <w:rsid w:val="004819FA"/>
    <w:rsid w:val="00482043"/>
    <w:rsid w:val="004A3D8E"/>
    <w:rsid w:val="004B6196"/>
    <w:rsid w:val="004C17F5"/>
    <w:rsid w:val="004C7B09"/>
    <w:rsid w:val="004D1768"/>
    <w:rsid w:val="004F023B"/>
    <w:rsid w:val="004F14C6"/>
    <w:rsid w:val="004F2A71"/>
    <w:rsid w:val="004F4BE7"/>
    <w:rsid w:val="004F7643"/>
    <w:rsid w:val="00500D87"/>
    <w:rsid w:val="00505E6C"/>
    <w:rsid w:val="0051074B"/>
    <w:rsid w:val="005140B7"/>
    <w:rsid w:val="00516F03"/>
    <w:rsid w:val="00550986"/>
    <w:rsid w:val="00552102"/>
    <w:rsid w:val="00553D7D"/>
    <w:rsid w:val="00553E4A"/>
    <w:rsid w:val="0055671C"/>
    <w:rsid w:val="005835B4"/>
    <w:rsid w:val="005A394A"/>
    <w:rsid w:val="005B0670"/>
    <w:rsid w:val="005B2C40"/>
    <w:rsid w:val="005B59FF"/>
    <w:rsid w:val="005B6B94"/>
    <w:rsid w:val="005C0E39"/>
    <w:rsid w:val="005C7CBE"/>
    <w:rsid w:val="005D2090"/>
    <w:rsid w:val="005D452D"/>
    <w:rsid w:val="005E4D9E"/>
    <w:rsid w:val="005F7510"/>
    <w:rsid w:val="006008CD"/>
    <w:rsid w:val="0060165E"/>
    <w:rsid w:val="006058C8"/>
    <w:rsid w:val="00614AD3"/>
    <w:rsid w:val="00615059"/>
    <w:rsid w:val="006300D3"/>
    <w:rsid w:val="006334E5"/>
    <w:rsid w:val="006337A1"/>
    <w:rsid w:val="00652B4F"/>
    <w:rsid w:val="00654311"/>
    <w:rsid w:val="00665E25"/>
    <w:rsid w:val="0067043C"/>
    <w:rsid w:val="00681762"/>
    <w:rsid w:val="00686FAC"/>
    <w:rsid w:val="006952F8"/>
    <w:rsid w:val="00696BD9"/>
    <w:rsid w:val="006A0078"/>
    <w:rsid w:val="006A3D27"/>
    <w:rsid w:val="006A5D1F"/>
    <w:rsid w:val="006B166B"/>
    <w:rsid w:val="006B22AB"/>
    <w:rsid w:val="006C4938"/>
    <w:rsid w:val="006C5383"/>
    <w:rsid w:val="006C68B8"/>
    <w:rsid w:val="006C774C"/>
    <w:rsid w:val="006D5468"/>
    <w:rsid w:val="006D65F5"/>
    <w:rsid w:val="006E02F2"/>
    <w:rsid w:val="006F1971"/>
    <w:rsid w:val="006F3086"/>
    <w:rsid w:val="00703031"/>
    <w:rsid w:val="00704EBF"/>
    <w:rsid w:val="007068AD"/>
    <w:rsid w:val="00706E98"/>
    <w:rsid w:val="00707A33"/>
    <w:rsid w:val="00720454"/>
    <w:rsid w:val="00735D67"/>
    <w:rsid w:val="00746530"/>
    <w:rsid w:val="00770E32"/>
    <w:rsid w:val="00772140"/>
    <w:rsid w:val="00784AD9"/>
    <w:rsid w:val="0079303A"/>
    <w:rsid w:val="0079559F"/>
    <w:rsid w:val="00795CC6"/>
    <w:rsid w:val="007A3508"/>
    <w:rsid w:val="007A7D67"/>
    <w:rsid w:val="007B47E5"/>
    <w:rsid w:val="007B7934"/>
    <w:rsid w:val="007D0E5A"/>
    <w:rsid w:val="007D6380"/>
    <w:rsid w:val="007E2E7F"/>
    <w:rsid w:val="007E4038"/>
    <w:rsid w:val="00826F8B"/>
    <w:rsid w:val="00835CB1"/>
    <w:rsid w:val="00842065"/>
    <w:rsid w:val="00844D22"/>
    <w:rsid w:val="00856731"/>
    <w:rsid w:val="0085754D"/>
    <w:rsid w:val="008604CD"/>
    <w:rsid w:val="008610DB"/>
    <w:rsid w:val="008660B0"/>
    <w:rsid w:val="008728C4"/>
    <w:rsid w:val="008748E6"/>
    <w:rsid w:val="008769ED"/>
    <w:rsid w:val="00882881"/>
    <w:rsid w:val="008A6532"/>
    <w:rsid w:val="008B34E6"/>
    <w:rsid w:val="008C024D"/>
    <w:rsid w:val="008D03C9"/>
    <w:rsid w:val="008D5567"/>
    <w:rsid w:val="008F5406"/>
    <w:rsid w:val="00916107"/>
    <w:rsid w:val="00921B18"/>
    <w:rsid w:val="00931D31"/>
    <w:rsid w:val="00933287"/>
    <w:rsid w:val="009550FF"/>
    <w:rsid w:val="0098195E"/>
    <w:rsid w:val="0099286C"/>
    <w:rsid w:val="009C0E2C"/>
    <w:rsid w:val="009D3B62"/>
    <w:rsid w:val="009D45C8"/>
    <w:rsid w:val="009D68CF"/>
    <w:rsid w:val="009E03BD"/>
    <w:rsid w:val="009E2CD6"/>
    <w:rsid w:val="00A017AE"/>
    <w:rsid w:val="00A04133"/>
    <w:rsid w:val="00A0497C"/>
    <w:rsid w:val="00A10760"/>
    <w:rsid w:val="00A170FA"/>
    <w:rsid w:val="00A243D0"/>
    <w:rsid w:val="00A33773"/>
    <w:rsid w:val="00A341AB"/>
    <w:rsid w:val="00A45442"/>
    <w:rsid w:val="00A454A4"/>
    <w:rsid w:val="00A473A5"/>
    <w:rsid w:val="00A50538"/>
    <w:rsid w:val="00A6443B"/>
    <w:rsid w:val="00A66CF7"/>
    <w:rsid w:val="00A679CE"/>
    <w:rsid w:val="00A74775"/>
    <w:rsid w:val="00A84D9C"/>
    <w:rsid w:val="00A85A2C"/>
    <w:rsid w:val="00A87CEF"/>
    <w:rsid w:val="00AA2B8E"/>
    <w:rsid w:val="00AA3D38"/>
    <w:rsid w:val="00AA4670"/>
    <w:rsid w:val="00AA7615"/>
    <w:rsid w:val="00AB2B49"/>
    <w:rsid w:val="00AB6467"/>
    <w:rsid w:val="00AB7461"/>
    <w:rsid w:val="00AC693A"/>
    <w:rsid w:val="00AF64F1"/>
    <w:rsid w:val="00AF77B6"/>
    <w:rsid w:val="00B11B9B"/>
    <w:rsid w:val="00B2303B"/>
    <w:rsid w:val="00B308D4"/>
    <w:rsid w:val="00B41085"/>
    <w:rsid w:val="00B422F3"/>
    <w:rsid w:val="00B42555"/>
    <w:rsid w:val="00B470F0"/>
    <w:rsid w:val="00B72C36"/>
    <w:rsid w:val="00B8195E"/>
    <w:rsid w:val="00B8541F"/>
    <w:rsid w:val="00B86751"/>
    <w:rsid w:val="00B86D47"/>
    <w:rsid w:val="00B90811"/>
    <w:rsid w:val="00B9175F"/>
    <w:rsid w:val="00BA7423"/>
    <w:rsid w:val="00BB1072"/>
    <w:rsid w:val="00BB21D8"/>
    <w:rsid w:val="00BB4CD7"/>
    <w:rsid w:val="00BC0C92"/>
    <w:rsid w:val="00BC16D7"/>
    <w:rsid w:val="00BC7127"/>
    <w:rsid w:val="00BD004B"/>
    <w:rsid w:val="00BD4BD5"/>
    <w:rsid w:val="00BD4E10"/>
    <w:rsid w:val="00BE0ACD"/>
    <w:rsid w:val="00BE1B9F"/>
    <w:rsid w:val="00BE3FB8"/>
    <w:rsid w:val="00BE6A2E"/>
    <w:rsid w:val="00BE6DE6"/>
    <w:rsid w:val="00BE71A9"/>
    <w:rsid w:val="00BF3A21"/>
    <w:rsid w:val="00C05FAD"/>
    <w:rsid w:val="00C1119B"/>
    <w:rsid w:val="00C11677"/>
    <w:rsid w:val="00C12548"/>
    <w:rsid w:val="00C1732F"/>
    <w:rsid w:val="00C25498"/>
    <w:rsid w:val="00C258D6"/>
    <w:rsid w:val="00C26457"/>
    <w:rsid w:val="00C305C0"/>
    <w:rsid w:val="00C362E1"/>
    <w:rsid w:val="00C365D2"/>
    <w:rsid w:val="00C42113"/>
    <w:rsid w:val="00C45F2F"/>
    <w:rsid w:val="00C53B6C"/>
    <w:rsid w:val="00C60546"/>
    <w:rsid w:val="00C60AD3"/>
    <w:rsid w:val="00C6145F"/>
    <w:rsid w:val="00C62127"/>
    <w:rsid w:val="00C627D8"/>
    <w:rsid w:val="00C62FC5"/>
    <w:rsid w:val="00C80CA5"/>
    <w:rsid w:val="00C94C48"/>
    <w:rsid w:val="00CA4BC0"/>
    <w:rsid w:val="00CA5207"/>
    <w:rsid w:val="00CB6F80"/>
    <w:rsid w:val="00CC36DE"/>
    <w:rsid w:val="00CD4D85"/>
    <w:rsid w:val="00CD66CE"/>
    <w:rsid w:val="00CE14D7"/>
    <w:rsid w:val="00CF398D"/>
    <w:rsid w:val="00D00648"/>
    <w:rsid w:val="00D0276D"/>
    <w:rsid w:val="00D04056"/>
    <w:rsid w:val="00D04FEF"/>
    <w:rsid w:val="00D13F1F"/>
    <w:rsid w:val="00D21686"/>
    <w:rsid w:val="00D306E3"/>
    <w:rsid w:val="00D3324B"/>
    <w:rsid w:val="00D35E06"/>
    <w:rsid w:val="00D47DC7"/>
    <w:rsid w:val="00D513E6"/>
    <w:rsid w:val="00D53D2E"/>
    <w:rsid w:val="00D54AEB"/>
    <w:rsid w:val="00D72381"/>
    <w:rsid w:val="00D9175C"/>
    <w:rsid w:val="00D9673B"/>
    <w:rsid w:val="00DA2398"/>
    <w:rsid w:val="00DA5938"/>
    <w:rsid w:val="00DB13D9"/>
    <w:rsid w:val="00DB4B94"/>
    <w:rsid w:val="00DB4D50"/>
    <w:rsid w:val="00DB5670"/>
    <w:rsid w:val="00DB781F"/>
    <w:rsid w:val="00DC36D0"/>
    <w:rsid w:val="00DC7759"/>
    <w:rsid w:val="00DD021A"/>
    <w:rsid w:val="00DD1AFB"/>
    <w:rsid w:val="00DD70C0"/>
    <w:rsid w:val="00DF5319"/>
    <w:rsid w:val="00DF5D9C"/>
    <w:rsid w:val="00E06900"/>
    <w:rsid w:val="00E06AD0"/>
    <w:rsid w:val="00E316A6"/>
    <w:rsid w:val="00E35CD1"/>
    <w:rsid w:val="00E4211C"/>
    <w:rsid w:val="00E51B92"/>
    <w:rsid w:val="00E5297F"/>
    <w:rsid w:val="00E560FA"/>
    <w:rsid w:val="00E77939"/>
    <w:rsid w:val="00E857C5"/>
    <w:rsid w:val="00E95AC3"/>
    <w:rsid w:val="00E972AE"/>
    <w:rsid w:val="00E9789A"/>
    <w:rsid w:val="00EA6684"/>
    <w:rsid w:val="00EA6C9D"/>
    <w:rsid w:val="00EC481A"/>
    <w:rsid w:val="00EC4A05"/>
    <w:rsid w:val="00EC4AAE"/>
    <w:rsid w:val="00ED2FBA"/>
    <w:rsid w:val="00F00345"/>
    <w:rsid w:val="00F03925"/>
    <w:rsid w:val="00F04704"/>
    <w:rsid w:val="00F05FAE"/>
    <w:rsid w:val="00F116DF"/>
    <w:rsid w:val="00F12EEF"/>
    <w:rsid w:val="00F13EB8"/>
    <w:rsid w:val="00F30911"/>
    <w:rsid w:val="00F414C0"/>
    <w:rsid w:val="00F46D90"/>
    <w:rsid w:val="00F516E5"/>
    <w:rsid w:val="00F65F6F"/>
    <w:rsid w:val="00F70244"/>
    <w:rsid w:val="00F86BC8"/>
    <w:rsid w:val="00F877E3"/>
    <w:rsid w:val="00F944CC"/>
    <w:rsid w:val="00FA4B38"/>
    <w:rsid w:val="00FA55BE"/>
    <w:rsid w:val="00FB0808"/>
    <w:rsid w:val="00FC03E0"/>
    <w:rsid w:val="00FD5ED1"/>
    <w:rsid w:val="00FF3F75"/>
    <w:rsid w:val="00FF5B43"/>
    <w:rsid w:val="00FF753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0D87"/>
    <w:pPr>
      <w:spacing w:after="120"/>
      <w:ind w:firstLine="397"/>
      <w:jc w:val="both"/>
    </w:pPr>
    <w:rPr>
      <w:rFonts w:ascii="Times New Roman" w:hAnsi="Times New Roman"/>
      <w:noProof/>
      <w:sz w:val="24"/>
      <w:szCs w:val="22"/>
      <w:lang w:val="sr-Latn-CS" w:bidi="en-US"/>
    </w:rPr>
  </w:style>
  <w:style w:type="paragraph" w:styleId="Heading1">
    <w:name w:val="heading 1"/>
    <w:basedOn w:val="Normal"/>
    <w:next w:val="Normal"/>
    <w:link w:val="Heading1Char"/>
    <w:uiPriority w:val="9"/>
    <w:qFormat/>
    <w:rsid w:val="00003F0C"/>
    <w:pPr>
      <w:spacing w:after="0"/>
      <w:ind w:firstLine="0"/>
      <w:contextualSpacing/>
      <w:jc w:val="center"/>
      <w:outlineLvl w:val="0"/>
    </w:pPr>
    <w:rPr>
      <w:b/>
      <w:bCs/>
      <w:caps/>
      <w:sz w:val="28"/>
      <w:szCs w:val="28"/>
    </w:rPr>
  </w:style>
  <w:style w:type="paragraph" w:styleId="Heading2">
    <w:name w:val="heading 2"/>
    <w:basedOn w:val="Normal"/>
    <w:next w:val="Normal"/>
    <w:link w:val="Heading2Char"/>
    <w:uiPriority w:val="9"/>
    <w:qFormat/>
    <w:rsid w:val="00BD4BD5"/>
    <w:pPr>
      <w:numPr>
        <w:numId w:val="12"/>
      </w:numPr>
      <w:spacing w:before="360"/>
      <w:jc w:val="left"/>
      <w:outlineLvl w:val="1"/>
    </w:pPr>
    <w:rPr>
      <w:b/>
      <w:bCs/>
      <w:caps/>
      <w:sz w:val="22"/>
      <w:szCs w:val="26"/>
    </w:rPr>
  </w:style>
  <w:style w:type="paragraph" w:styleId="Heading3">
    <w:name w:val="heading 3"/>
    <w:basedOn w:val="Normal"/>
    <w:next w:val="Normal"/>
    <w:link w:val="Heading3Char"/>
    <w:uiPriority w:val="9"/>
    <w:qFormat/>
    <w:rsid w:val="00BD4BD5"/>
    <w:pPr>
      <w:numPr>
        <w:ilvl w:val="1"/>
        <w:numId w:val="13"/>
      </w:numPr>
      <w:spacing w:before="120"/>
      <w:ind w:left="426" w:hanging="426"/>
      <w:outlineLvl w:val="2"/>
    </w:pPr>
    <w:rPr>
      <w:b/>
      <w:bCs/>
      <w:sz w:val="22"/>
    </w:rPr>
  </w:style>
  <w:style w:type="paragraph" w:styleId="Heading4">
    <w:name w:val="heading 4"/>
    <w:basedOn w:val="Normal"/>
    <w:next w:val="Normal"/>
    <w:link w:val="Heading4Char"/>
    <w:uiPriority w:val="9"/>
    <w:qFormat/>
    <w:rsid w:val="00BD4BD5"/>
    <w:pPr>
      <w:numPr>
        <w:ilvl w:val="2"/>
        <w:numId w:val="12"/>
      </w:numPr>
      <w:spacing w:before="360"/>
      <w:ind w:left="567" w:hanging="567"/>
      <w:outlineLvl w:val="3"/>
    </w:pPr>
    <w:rPr>
      <w:b/>
      <w:bCs/>
      <w:iCs/>
      <w:sz w:val="22"/>
    </w:rPr>
  </w:style>
  <w:style w:type="paragraph" w:styleId="Heading5">
    <w:name w:val="heading 5"/>
    <w:basedOn w:val="Normal"/>
    <w:next w:val="Normal"/>
    <w:link w:val="Heading5Char"/>
    <w:uiPriority w:val="9"/>
    <w:qFormat/>
    <w:rsid w:val="00D00648"/>
    <w:pPr>
      <w:numPr>
        <w:ilvl w:val="4"/>
        <w:numId w:val="7"/>
      </w:numPr>
      <w:spacing w:before="200" w:after="0"/>
      <w:outlineLvl w:val="4"/>
    </w:pPr>
    <w:rPr>
      <w:rFonts w:ascii="Cambria" w:hAnsi="Cambria"/>
      <w:b/>
      <w:bCs/>
      <w:noProof w:val="0"/>
      <w:color w:val="7F7F7F"/>
      <w:sz w:val="20"/>
      <w:szCs w:val="20"/>
      <w:lang w:bidi="ar-SA"/>
    </w:rPr>
  </w:style>
  <w:style w:type="paragraph" w:styleId="Heading6">
    <w:name w:val="heading 6"/>
    <w:basedOn w:val="Normal"/>
    <w:next w:val="Normal"/>
    <w:link w:val="Heading6Char"/>
    <w:uiPriority w:val="9"/>
    <w:qFormat/>
    <w:rsid w:val="00D00648"/>
    <w:pPr>
      <w:numPr>
        <w:ilvl w:val="5"/>
        <w:numId w:val="7"/>
      </w:numPr>
      <w:spacing w:after="0" w:line="271" w:lineRule="auto"/>
      <w:outlineLvl w:val="5"/>
    </w:pPr>
    <w:rPr>
      <w:rFonts w:ascii="Cambria" w:hAnsi="Cambria"/>
      <w:b/>
      <w:bCs/>
      <w:i/>
      <w:iCs/>
      <w:noProof w:val="0"/>
      <w:color w:val="7F7F7F"/>
      <w:sz w:val="20"/>
      <w:szCs w:val="20"/>
      <w:lang w:bidi="ar-SA"/>
    </w:rPr>
  </w:style>
  <w:style w:type="paragraph" w:styleId="Heading7">
    <w:name w:val="heading 7"/>
    <w:basedOn w:val="Normal"/>
    <w:next w:val="Normal"/>
    <w:link w:val="Heading7Char"/>
    <w:uiPriority w:val="9"/>
    <w:qFormat/>
    <w:rsid w:val="00D00648"/>
    <w:pPr>
      <w:numPr>
        <w:ilvl w:val="6"/>
        <w:numId w:val="7"/>
      </w:numPr>
      <w:spacing w:after="0"/>
      <w:outlineLvl w:val="6"/>
    </w:pPr>
    <w:rPr>
      <w:rFonts w:ascii="Cambria" w:hAnsi="Cambria"/>
      <w:i/>
      <w:iCs/>
      <w:noProof w:val="0"/>
      <w:sz w:val="20"/>
      <w:szCs w:val="20"/>
      <w:lang w:bidi="ar-SA"/>
    </w:rPr>
  </w:style>
  <w:style w:type="paragraph" w:styleId="Heading8">
    <w:name w:val="heading 8"/>
    <w:basedOn w:val="Normal"/>
    <w:next w:val="Normal"/>
    <w:link w:val="Heading8Char"/>
    <w:uiPriority w:val="9"/>
    <w:qFormat/>
    <w:rsid w:val="00D00648"/>
    <w:pPr>
      <w:numPr>
        <w:ilvl w:val="7"/>
        <w:numId w:val="7"/>
      </w:numPr>
      <w:spacing w:after="0"/>
      <w:outlineLvl w:val="7"/>
    </w:pPr>
    <w:rPr>
      <w:rFonts w:ascii="Cambria" w:hAnsi="Cambria"/>
      <w:noProof w:val="0"/>
      <w:sz w:val="20"/>
      <w:szCs w:val="20"/>
      <w:lang w:bidi="ar-SA"/>
    </w:rPr>
  </w:style>
  <w:style w:type="paragraph" w:styleId="Heading9">
    <w:name w:val="heading 9"/>
    <w:basedOn w:val="Normal"/>
    <w:next w:val="Normal"/>
    <w:link w:val="Heading9Char"/>
    <w:uiPriority w:val="9"/>
    <w:qFormat/>
    <w:rsid w:val="00D00648"/>
    <w:pPr>
      <w:numPr>
        <w:ilvl w:val="8"/>
        <w:numId w:val="7"/>
      </w:numPr>
      <w:spacing w:after="0"/>
      <w:outlineLvl w:val="8"/>
    </w:pPr>
    <w:rPr>
      <w:rFonts w:ascii="Cambria" w:hAnsi="Cambria"/>
      <w:i/>
      <w:iCs/>
      <w:noProof w:val="0"/>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6AD0"/>
    <w:pPr>
      <w:tabs>
        <w:tab w:val="center" w:pos="4535"/>
        <w:tab w:val="right" w:pos="9071"/>
      </w:tabs>
      <w:spacing w:after="0"/>
    </w:pPr>
    <w:rPr>
      <w:noProof w:val="0"/>
      <w:sz w:val="20"/>
      <w:szCs w:val="20"/>
      <w:lang w:bidi="ar-SA"/>
    </w:rPr>
  </w:style>
  <w:style w:type="character" w:customStyle="1" w:styleId="HeaderChar">
    <w:name w:val="Header Char"/>
    <w:link w:val="Header"/>
    <w:uiPriority w:val="99"/>
    <w:rsid w:val="00E06AD0"/>
    <w:rPr>
      <w:rFonts w:ascii="Times New Roman" w:hAnsi="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bidi="ar-SA"/>
    </w:rPr>
  </w:style>
  <w:style w:type="character" w:customStyle="1" w:styleId="FooterChar">
    <w:name w:val="Footer Char"/>
    <w:link w:val="Footer"/>
    <w:uiPriority w:val="99"/>
    <w:rsid w:val="00E06AD0"/>
    <w:rPr>
      <w:rFonts w:ascii="Times New Roman" w:hAnsi="Times New Roman"/>
      <w:sz w:val="20"/>
    </w:rPr>
  </w:style>
  <w:style w:type="character" w:customStyle="1" w:styleId="Heading1Char">
    <w:name w:val="Heading 1 Char"/>
    <w:link w:val="Heading1"/>
    <w:uiPriority w:val="9"/>
    <w:rsid w:val="00003F0C"/>
    <w:rPr>
      <w:rFonts w:ascii="Times New Roman" w:hAnsi="Times New Roman"/>
      <w:b/>
      <w:bCs/>
      <w:caps/>
      <w:noProof/>
      <w:sz w:val="28"/>
      <w:szCs w:val="28"/>
      <w:lang w:val="sr-Latn-CS" w:bidi="en-US"/>
    </w:rPr>
  </w:style>
  <w:style w:type="character" w:customStyle="1" w:styleId="Heading2Char">
    <w:name w:val="Heading 2 Char"/>
    <w:link w:val="Heading2"/>
    <w:uiPriority w:val="9"/>
    <w:rsid w:val="00BD4BD5"/>
    <w:rPr>
      <w:rFonts w:ascii="Times New Roman" w:hAnsi="Times New Roman"/>
      <w:b/>
      <w:bCs/>
      <w:caps/>
      <w:noProof/>
      <w:sz w:val="22"/>
      <w:szCs w:val="26"/>
      <w:lang w:val="sr-Latn-CS" w:bidi="en-US"/>
    </w:rPr>
  </w:style>
  <w:style w:type="character" w:customStyle="1" w:styleId="Heading3Char">
    <w:name w:val="Heading 3 Char"/>
    <w:link w:val="Heading3"/>
    <w:uiPriority w:val="9"/>
    <w:rsid w:val="00BD4BD5"/>
    <w:rPr>
      <w:rFonts w:ascii="Times New Roman" w:hAnsi="Times New Roman"/>
      <w:b/>
      <w:bCs/>
      <w:noProof/>
      <w:sz w:val="22"/>
      <w:szCs w:val="22"/>
      <w:lang w:val="sr-Latn-CS" w:bidi="en-US"/>
    </w:rPr>
  </w:style>
  <w:style w:type="character" w:customStyle="1" w:styleId="Heading4Char">
    <w:name w:val="Heading 4 Char"/>
    <w:link w:val="Heading4"/>
    <w:uiPriority w:val="9"/>
    <w:rsid w:val="00BD4BD5"/>
    <w:rPr>
      <w:rFonts w:ascii="Times New Roman" w:hAnsi="Times New Roman"/>
      <w:b/>
      <w:bCs/>
      <w:iCs/>
      <w:noProof/>
      <w:sz w:val="22"/>
      <w:szCs w:val="22"/>
      <w:lang w:val="sr-Latn-CS" w:bidi="en-US"/>
    </w:rPr>
  </w:style>
  <w:style w:type="character" w:customStyle="1" w:styleId="Heading5Char">
    <w:name w:val="Heading 5 Char"/>
    <w:link w:val="Heading5"/>
    <w:uiPriority w:val="9"/>
    <w:rsid w:val="00D00648"/>
    <w:rPr>
      <w:rFonts w:ascii="Cambria" w:hAnsi="Cambria"/>
      <w:b/>
      <w:bCs/>
      <w:color w:val="7F7F7F"/>
    </w:rPr>
  </w:style>
  <w:style w:type="character" w:customStyle="1" w:styleId="Heading6Char">
    <w:name w:val="Heading 6 Char"/>
    <w:link w:val="Heading6"/>
    <w:uiPriority w:val="9"/>
    <w:rsid w:val="00D00648"/>
    <w:rPr>
      <w:rFonts w:ascii="Cambria" w:hAnsi="Cambria"/>
      <w:b/>
      <w:bCs/>
      <w:i/>
      <w:iCs/>
      <w:color w:val="7F7F7F"/>
    </w:rPr>
  </w:style>
  <w:style w:type="character" w:customStyle="1" w:styleId="Heading7Char">
    <w:name w:val="Heading 7 Char"/>
    <w:link w:val="Heading7"/>
    <w:uiPriority w:val="9"/>
    <w:rsid w:val="00D00648"/>
    <w:rPr>
      <w:rFonts w:ascii="Cambria" w:hAnsi="Cambria"/>
      <w:i/>
      <w:iCs/>
    </w:rPr>
  </w:style>
  <w:style w:type="character" w:customStyle="1" w:styleId="Heading8Char">
    <w:name w:val="Heading 8 Char"/>
    <w:link w:val="Heading8"/>
    <w:uiPriority w:val="9"/>
    <w:rsid w:val="00D00648"/>
    <w:rPr>
      <w:rFonts w:ascii="Cambria" w:hAnsi="Cambria"/>
    </w:rPr>
  </w:style>
  <w:style w:type="character" w:customStyle="1" w:styleId="Heading9Char">
    <w:name w:val="Heading 9 Char"/>
    <w:link w:val="Heading9"/>
    <w:uiPriority w:val="9"/>
    <w:rsid w:val="00D00648"/>
    <w:rPr>
      <w:rFonts w:ascii="Cambria" w:hAnsi="Cambria"/>
      <w:i/>
      <w:iCs/>
      <w:spacing w:val="5"/>
    </w:rPr>
  </w:style>
  <w:style w:type="paragraph" w:styleId="Title">
    <w:name w:val="Title"/>
    <w:basedOn w:val="Normal"/>
    <w:next w:val="Normal"/>
    <w:link w:val="TitleChar"/>
    <w:uiPriority w:val="10"/>
    <w:qFormat/>
    <w:rsid w:val="00D00648"/>
    <w:pPr>
      <w:pBdr>
        <w:bottom w:val="single" w:sz="4" w:space="1" w:color="auto"/>
      </w:pBdr>
      <w:contextualSpacing/>
    </w:pPr>
    <w:rPr>
      <w:rFonts w:ascii="Cambria" w:hAnsi="Cambria"/>
      <w:noProof w:val="0"/>
      <w:spacing w:val="5"/>
      <w:sz w:val="52"/>
      <w:szCs w:val="52"/>
      <w:lang w:bidi="ar-SA"/>
    </w:rPr>
  </w:style>
  <w:style w:type="character" w:customStyle="1" w:styleId="TitleChar">
    <w:name w:val="Title Char"/>
    <w:link w:val="Title"/>
    <w:uiPriority w:val="10"/>
    <w:rsid w:val="00D0064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bidi="ar-SA"/>
    </w:rPr>
  </w:style>
  <w:style w:type="character" w:customStyle="1" w:styleId="SubtitleChar">
    <w:name w:val="Subtitle Char"/>
    <w:link w:val="Subtitle"/>
    <w:uiPriority w:val="11"/>
    <w:rsid w:val="00D00648"/>
    <w:rPr>
      <w:rFonts w:ascii="Cambria" w:eastAsia="Times New Roman" w:hAnsi="Cambria" w:cs="Times New Roman"/>
      <w:i/>
      <w:iCs/>
      <w:spacing w:val="13"/>
      <w:sz w:val="24"/>
      <w:szCs w:val="24"/>
    </w:rPr>
  </w:style>
  <w:style w:type="character" w:styleId="Strong">
    <w:name w:val="Strong"/>
    <w:uiPriority w:val="22"/>
    <w:qFormat/>
    <w:rsid w:val="00D00648"/>
    <w:rPr>
      <w:b/>
      <w:bCs/>
    </w:rPr>
  </w:style>
  <w:style w:type="character" w:styleId="Emphasis">
    <w:name w:val="Emphasis"/>
    <w:uiPriority w:val="20"/>
    <w:qFormat/>
    <w:rsid w:val="00D00648"/>
    <w:rPr>
      <w:b/>
      <w:bCs/>
      <w:i/>
      <w:iCs/>
      <w:spacing w:val="10"/>
      <w:bdr w:val="none" w:sz="0" w:space="0" w:color="auto"/>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bidi="ar-SA"/>
    </w:rPr>
  </w:style>
  <w:style w:type="character" w:customStyle="1" w:styleId="QuoteChar">
    <w:name w:val="Quote Char"/>
    <w:link w:val="Quote"/>
    <w:uiPriority w:val="29"/>
    <w:rsid w:val="00D00648"/>
    <w:rPr>
      <w:i/>
      <w:iCs/>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bidi="ar-SA"/>
    </w:rPr>
  </w:style>
  <w:style w:type="character" w:customStyle="1" w:styleId="IntenseQuoteChar">
    <w:name w:val="Intense Quote Char"/>
    <w:link w:val="IntenseQuote"/>
    <w:uiPriority w:val="30"/>
    <w:rsid w:val="00D00648"/>
    <w:rPr>
      <w:b/>
      <w:bCs/>
      <w:i/>
      <w:iCs/>
    </w:rPr>
  </w:style>
  <w:style w:type="character" w:styleId="SubtleEmphasis">
    <w:name w:val="Subtle Emphasis"/>
    <w:uiPriority w:val="19"/>
    <w:qFormat/>
    <w:rsid w:val="00D00648"/>
    <w:rPr>
      <w:i/>
      <w:iCs/>
    </w:rPr>
  </w:style>
  <w:style w:type="character" w:styleId="IntenseEmphasis">
    <w:name w:val="Intense Emphasis"/>
    <w:uiPriority w:val="21"/>
    <w:qFormat/>
    <w:rsid w:val="00D00648"/>
    <w:rPr>
      <w:b/>
      <w:bCs/>
    </w:rPr>
  </w:style>
  <w:style w:type="character" w:styleId="SubtleReference">
    <w:name w:val="Subtle Reference"/>
    <w:uiPriority w:val="31"/>
    <w:qFormat/>
    <w:rsid w:val="00D00648"/>
    <w:rPr>
      <w:smallCaps/>
    </w:rPr>
  </w:style>
  <w:style w:type="character" w:styleId="IntenseReference">
    <w:name w:val="Intense Reference"/>
    <w:uiPriority w:val="32"/>
    <w:qFormat/>
    <w:rsid w:val="00D00648"/>
    <w:rPr>
      <w:smallCaps/>
      <w:spacing w:val="5"/>
      <w:u w:val="single"/>
    </w:rPr>
  </w:style>
  <w:style w:type="character" w:styleId="BookTitle">
    <w:name w:val="Book Title"/>
    <w:uiPriority w:val="33"/>
    <w:qFormat/>
    <w:rsid w:val="00D00648"/>
    <w:rPr>
      <w:i/>
      <w:iCs/>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rsid w:val="00D00648"/>
  </w:style>
  <w:style w:type="paragraph" w:styleId="BalloonText">
    <w:name w:val="Balloon Text"/>
    <w:basedOn w:val="Normal"/>
    <w:link w:val="BalloonTextChar"/>
    <w:uiPriority w:val="99"/>
    <w:semiHidden/>
    <w:unhideWhenUsed/>
    <w:rsid w:val="00E06AD0"/>
    <w:pPr>
      <w:spacing w:after="0"/>
    </w:pPr>
    <w:rPr>
      <w:rFonts w:ascii="Tahoma" w:hAnsi="Tahoma"/>
      <w:noProof w:val="0"/>
      <w:sz w:val="16"/>
      <w:szCs w:val="16"/>
      <w:lang w:bidi="ar-SA"/>
    </w:rPr>
  </w:style>
  <w:style w:type="character" w:customStyle="1" w:styleId="BalloonTextChar">
    <w:name w:val="Balloon Text Char"/>
    <w:link w:val="BalloonText"/>
    <w:uiPriority w:val="99"/>
    <w:semiHidden/>
    <w:rsid w:val="00E06AD0"/>
    <w:rPr>
      <w:rFonts w:ascii="Tahoma" w:hAnsi="Tahoma" w:cs="Tahoma"/>
      <w:sz w:val="16"/>
      <w:szCs w:val="16"/>
    </w:rPr>
  </w:style>
  <w:style w:type="paragraph" w:styleId="DocumentMap">
    <w:name w:val="Document Map"/>
    <w:basedOn w:val="Normal"/>
    <w:link w:val="DocumentMapChar"/>
    <w:uiPriority w:val="99"/>
    <w:semiHidden/>
    <w:unhideWhenUsed/>
    <w:rsid w:val="00E06AD0"/>
    <w:pPr>
      <w:spacing w:after="0"/>
    </w:pPr>
    <w:rPr>
      <w:rFonts w:ascii="Tahoma" w:hAnsi="Tahoma"/>
      <w:noProof w:val="0"/>
      <w:sz w:val="16"/>
      <w:szCs w:val="16"/>
      <w:lang w:bidi="ar-SA"/>
    </w:rPr>
  </w:style>
  <w:style w:type="character" w:customStyle="1" w:styleId="DocumentMapChar">
    <w:name w:val="Document Map Char"/>
    <w:link w:val="DocumentMap"/>
    <w:uiPriority w:val="99"/>
    <w:semiHidden/>
    <w:rsid w:val="00E06AD0"/>
    <w:rPr>
      <w:rFonts w:ascii="Tahoma" w:hAnsi="Tahoma" w:cs="Tahoma"/>
      <w:sz w:val="16"/>
      <w:szCs w:val="16"/>
    </w:rPr>
  </w:style>
  <w:style w:type="paragraph" w:styleId="FootnoteText">
    <w:name w:val="footnote text"/>
    <w:basedOn w:val="Normal"/>
    <w:link w:val="FootnoteTextChar"/>
    <w:uiPriority w:val="99"/>
    <w:semiHidden/>
    <w:unhideWhenUsed/>
    <w:rsid w:val="006334E5"/>
    <w:pPr>
      <w:spacing w:after="0"/>
    </w:pPr>
    <w:rPr>
      <w:noProof w:val="0"/>
      <w:sz w:val="18"/>
      <w:szCs w:val="20"/>
      <w:lang w:bidi="ar-SA"/>
    </w:rPr>
  </w:style>
  <w:style w:type="character" w:customStyle="1" w:styleId="FootnoteTextChar">
    <w:name w:val="Footnote Text Char"/>
    <w:link w:val="FootnoteText"/>
    <w:uiPriority w:val="99"/>
    <w:semiHidden/>
    <w:rsid w:val="006334E5"/>
    <w:rPr>
      <w:rFonts w:ascii="Times New Roman" w:hAnsi="Times New Roman"/>
      <w:sz w:val="18"/>
      <w:szCs w:val="20"/>
    </w:rPr>
  </w:style>
  <w:style w:type="character" w:styleId="FootnoteReference">
    <w:name w:val="footnote reference"/>
    <w:uiPriority w:val="99"/>
    <w:semiHidden/>
    <w:unhideWhenUsed/>
    <w:rsid w:val="00FD5ED1"/>
    <w:rPr>
      <w:vertAlign w:val="superscript"/>
    </w:rPr>
  </w:style>
  <w:style w:type="character" w:styleId="EndnoteReference">
    <w:name w:val="endnote reference"/>
    <w:uiPriority w:val="99"/>
    <w:unhideWhenUsed/>
    <w:rsid w:val="00FD5ED1"/>
    <w:rPr>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bidi="ar-SA"/>
    </w:rPr>
  </w:style>
  <w:style w:type="character" w:customStyle="1" w:styleId="NoteHeadingChar">
    <w:name w:val="Note Heading Char"/>
    <w:link w:val="NoteHeading"/>
    <w:uiPriority w:val="99"/>
    <w:rsid w:val="006334E5"/>
    <w:rPr>
      <w:rFonts w:ascii="Times New Roman" w:hAnsi="Times New Roman"/>
      <w:sz w:val="20"/>
    </w:rPr>
  </w:style>
  <w:style w:type="paragraph" w:styleId="Salutation">
    <w:name w:val="Salutation"/>
    <w:basedOn w:val="Normal"/>
    <w:next w:val="Normal"/>
    <w:link w:val="SalutationChar"/>
    <w:uiPriority w:val="99"/>
    <w:unhideWhenUsed/>
    <w:rsid w:val="006334E5"/>
    <w:rPr>
      <w:noProof w:val="0"/>
      <w:sz w:val="20"/>
      <w:szCs w:val="20"/>
      <w:lang w:bidi="ar-SA"/>
    </w:rPr>
  </w:style>
  <w:style w:type="character" w:customStyle="1" w:styleId="SalutationChar">
    <w:name w:val="Salutation Char"/>
    <w:link w:val="Salutation"/>
    <w:uiPriority w:val="99"/>
    <w:rsid w:val="006334E5"/>
    <w:rPr>
      <w:rFonts w:ascii="Times New Roman" w:hAnsi="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bidi="ar-SA"/>
    </w:rPr>
  </w:style>
  <w:style w:type="character" w:customStyle="1" w:styleId="SignatureChar">
    <w:name w:val="Signature Char"/>
    <w:link w:val="Signature"/>
    <w:uiPriority w:val="99"/>
    <w:rsid w:val="006334E5"/>
    <w:rPr>
      <w:rFonts w:ascii="Times New Roman" w:hAnsi="Times New Roman"/>
      <w:sz w:val="20"/>
    </w:rPr>
  </w:style>
  <w:style w:type="paragraph" w:styleId="PlainText">
    <w:name w:val="Plain Text"/>
    <w:basedOn w:val="Normal"/>
    <w:link w:val="PlainTextChar"/>
    <w:uiPriority w:val="99"/>
    <w:unhideWhenUsed/>
    <w:rsid w:val="006334E5"/>
    <w:pPr>
      <w:spacing w:after="0"/>
    </w:pPr>
    <w:rPr>
      <w:rFonts w:ascii="Consolas" w:hAnsi="Consolas"/>
      <w:noProof w:val="0"/>
      <w:sz w:val="21"/>
      <w:szCs w:val="21"/>
      <w:lang w:bidi="ar-SA"/>
    </w:rPr>
  </w:style>
  <w:style w:type="character" w:customStyle="1" w:styleId="PlainTextChar">
    <w:name w:val="Plain Text Char"/>
    <w:link w:val="PlainText"/>
    <w:uiPriority w:val="99"/>
    <w:rsid w:val="006334E5"/>
    <w:rPr>
      <w:rFonts w:ascii="Consolas" w:hAnsi="Consolas"/>
      <w:sz w:val="21"/>
      <w:szCs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numPr>
        <w:numId w:val="1"/>
      </w:numPr>
      <w:contextualSpacing/>
    </w:pPr>
  </w:style>
  <w:style w:type="paragraph" w:styleId="ListBullet2">
    <w:name w:val="List Bullet 2"/>
    <w:basedOn w:val="Normal"/>
    <w:uiPriority w:val="99"/>
    <w:unhideWhenUsed/>
    <w:rsid w:val="00E316A6"/>
    <w:pPr>
      <w:numPr>
        <w:numId w:val="2"/>
      </w:numPr>
      <w:contextualSpacing/>
    </w:pPr>
  </w:style>
  <w:style w:type="paragraph" w:styleId="ListBullet3">
    <w:name w:val="List Bullet 3"/>
    <w:basedOn w:val="Normal"/>
    <w:uiPriority w:val="99"/>
    <w:unhideWhenUsed/>
    <w:rsid w:val="00E316A6"/>
    <w:pPr>
      <w:numPr>
        <w:numId w:val="3"/>
      </w:numPr>
      <w:contextualSpacing/>
    </w:pPr>
  </w:style>
  <w:style w:type="paragraph" w:styleId="ListBullet4">
    <w:name w:val="List Bullet 4"/>
    <w:basedOn w:val="Normal"/>
    <w:uiPriority w:val="99"/>
    <w:unhideWhenUsed/>
    <w:rsid w:val="00E316A6"/>
    <w:pPr>
      <w:numPr>
        <w:numId w:val="4"/>
      </w:numPr>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numPr>
        <w:numId w:val="5"/>
      </w:numPr>
      <w:contextualSpacing/>
    </w:pPr>
  </w:style>
  <w:style w:type="paragraph" w:styleId="ListNumber2">
    <w:name w:val="List Number 2"/>
    <w:basedOn w:val="Normal"/>
    <w:uiPriority w:val="99"/>
    <w:unhideWhenUsed/>
    <w:rsid w:val="00E316A6"/>
    <w:pPr>
      <w:numPr>
        <w:numId w:val="6"/>
      </w:numPr>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uiPriority w:val="59"/>
    <w:rsid w:val="00E316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9"/>
      </w:numPr>
      <w:tabs>
        <w:tab w:val="left" w:pos="425"/>
      </w:tabs>
      <w:contextualSpacing/>
    </w:pPr>
  </w:style>
  <w:style w:type="paragraph" w:customStyle="1" w:styleId="Nabrajanjepobrojevima">
    <w:name w:val="Nabrajanje po brojevima"/>
    <w:basedOn w:val="Nabrajanjepotackama"/>
    <w:rsid w:val="001D5925"/>
    <w:pPr>
      <w:numPr>
        <w:numId w:val="10"/>
      </w:numPr>
    </w:pPr>
  </w:style>
  <w:style w:type="paragraph" w:customStyle="1" w:styleId="Bullets">
    <w:name w:val="Bullets"/>
    <w:basedOn w:val="Normal"/>
    <w:qFormat/>
    <w:rsid w:val="007B47E5"/>
    <w:pPr>
      <w:numPr>
        <w:numId w:val="11"/>
      </w:numPr>
      <w:overflowPunct w:val="0"/>
      <w:autoSpaceDE w:val="0"/>
      <w:autoSpaceDN w:val="0"/>
      <w:adjustRightInd w:val="0"/>
      <w:ind w:left="624" w:hanging="227"/>
      <w:contextualSpacing/>
      <w:textAlignment w:val="baseline"/>
      <w:outlineLvl w:val="1"/>
    </w:pPr>
    <w:rPr>
      <w:lang w:val="de-DE"/>
    </w:rPr>
  </w:style>
  <w:style w:type="paragraph" w:customStyle="1" w:styleId="References0">
    <w:name w:val="References"/>
    <w:basedOn w:val="Normal"/>
    <w:qFormat/>
    <w:rsid w:val="00441DA5"/>
    <w:pPr>
      <w:numPr>
        <w:numId w:val="8"/>
      </w:numPr>
      <w:ind w:left="426" w:hanging="426"/>
    </w:pPr>
  </w:style>
  <w:style w:type="paragraph" w:styleId="EndnoteText">
    <w:name w:val="endnote text"/>
    <w:basedOn w:val="Normal"/>
    <w:link w:val="EndnoteTextChar"/>
    <w:uiPriority w:val="99"/>
    <w:semiHidden/>
    <w:unhideWhenUsed/>
    <w:rsid w:val="00E5297F"/>
    <w:rPr>
      <w:sz w:val="20"/>
      <w:szCs w:val="20"/>
    </w:rPr>
  </w:style>
  <w:style w:type="character" w:customStyle="1" w:styleId="EndnoteTextChar">
    <w:name w:val="Endnote Text Char"/>
    <w:link w:val="EndnoteText"/>
    <w:uiPriority w:val="99"/>
    <w:semiHidden/>
    <w:rsid w:val="00E5297F"/>
    <w:rPr>
      <w:rFonts w:ascii="Times New Roman" w:hAnsi="Times New Roman"/>
      <w:noProof/>
      <w:lang w:val="sr-Latn-CS" w:bidi="en-U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bidi="ar-SA"/>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bidi="ar-SA"/>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bidi="ar-SA"/>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bidi="ar-SA"/>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character" w:customStyle="1" w:styleId="shorttext">
    <w:name w:val="short_text"/>
    <w:basedOn w:val="DefaultParagraphFont"/>
    <w:uiPriority w:val="99"/>
    <w:rsid w:val="00066A33"/>
  </w:style>
  <w:style w:type="character" w:customStyle="1" w:styleId="gt-baf-word-clickable">
    <w:name w:val="gt-baf-word-clickable"/>
    <w:basedOn w:val="DefaultParagraphFont"/>
    <w:rsid w:val="006A5D1F"/>
  </w:style>
  <w:style w:type="character" w:customStyle="1" w:styleId="CharChar20">
    <w:name w:val="Char Char20"/>
    <w:locked/>
    <w:rsid w:val="00CF398D"/>
    <w:rPr>
      <w:b/>
      <w:bCs/>
      <w:caps/>
      <w:noProof/>
      <w:sz w:val="28"/>
      <w:szCs w:val="28"/>
      <w:lang w:val="sr-Latn-CS" w:bidi="en-US"/>
    </w:rPr>
  </w:style>
  <w:style w:type="character" w:customStyle="1" w:styleId="CharChar5">
    <w:name w:val="Char Char5"/>
    <w:semiHidden/>
    <w:locked/>
    <w:rsid w:val="00CF398D"/>
    <w:rPr>
      <w:sz w:val="18"/>
      <w:lang w:bidi="ar-SA"/>
    </w:rPr>
  </w:style>
  <w:style w:type="paragraph" w:customStyle="1" w:styleId="Paragraph">
    <w:name w:val="Paragraph"/>
    <w:basedOn w:val="Normal"/>
    <w:rsid w:val="00552102"/>
    <w:pPr>
      <w:spacing w:after="0"/>
      <w:ind w:firstLine="284"/>
    </w:pPr>
    <w:rPr>
      <w:noProof w:val="0"/>
      <w:sz w:val="22"/>
      <w:lang w:bidi="ar-SA"/>
    </w:rPr>
  </w:style>
  <w:style w:type="paragraph" w:customStyle="1" w:styleId="PargraphNoIndent">
    <w:name w:val="Pargraph No Indent"/>
    <w:basedOn w:val="Paragraph"/>
    <w:next w:val="Paragraph"/>
    <w:rsid w:val="00552102"/>
    <w:pPr>
      <w:ind w:firstLine="0"/>
    </w:pPr>
  </w:style>
  <w:style w:type="character" w:customStyle="1" w:styleId="italic">
    <w:name w:val="italic"/>
    <w:rsid w:val="00552102"/>
  </w:style>
  <w:style w:type="paragraph" w:styleId="HTMLPreformatted">
    <w:name w:val="HTML Preformatted"/>
    <w:basedOn w:val="Normal"/>
    <w:link w:val="HTMLPreformattedChar"/>
    <w:uiPriority w:val="99"/>
    <w:semiHidden/>
    <w:unhideWhenUsed/>
    <w:rsid w:val="001F2C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0"/>
      <w:jc w:val="left"/>
    </w:pPr>
    <w:rPr>
      <w:rFonts w:ascii="Courier New" w:hAnsi="Courier New"/>
      <w:noProof w:val="0"/>
      <w:sz w:val="20"/>
      <w:szCs w:val="20"/>
      <w:lang w:bidi="ar-SA"/>
    </w:rPr>
  </w:style>
  <w:style w:type="character" w:customStyle="1" w:styleId="HTMLPreformattedChar">
    <w:name w:val="HTML Preformatted Char"/>
    <w:link w:val="HTMLPreformatted"/>
    <w:uiPriority w:val="99"/>
    <w:semiHidden/>
    <w:rsid w:val="001F2C78"/>
    <w:rPr>
      <w:rFonts w:ascii="Courier New" w:hAnsi="Courier New" w:cs="Courier New"/>
    </w:rPr>
  </w:style>
  <w:style w:type="character" w:styleId="Hyperlink">
    <w:name w:val="Hyperlink"/>
    <w:uiPriority w:val="99"/>
    <w:unhideWhenUsed/>
    <w:rsid w:val="001F2C78"/>
    <w:rPr>
      <w:color w:val="0000FF"/>
      <w:u w:val="single"/>
    </w:rPr>
  </w:style>
  <w:style w:type="character" w:customStyle="1" w:styleId="tlid-translation">
    <w:name w:val="tlid-translation"/>
    <w:rsid w:val="00F05FAE"/>
  </w:style>
  <w:style w:type="character" w:customStyle="1" w:styleId="longtext">
    <w:name w:val="long_text"/>
    <w:rsid w:val="00C62127"/>
  </w:style>
  <w:style w:type="character" w:customStyle="1" w:styleId="hps">
    <w:name w:val="hps"/>
    <w:uiPriority w:val="99"/>
    <w:rsid w:val="00CD4D85"/>
    <w:rPr>
      <w:rFonts w:cs="Times New Roman"/>
    </w:rPr>
  </w:style>
  <w:style w:type="character" w:customStyle="1" w:styleId="alt-edited">
    <w:name w:val="alt-edited"/>
    <w:rsid w:val="008B34E6"/>
  </w:style>
  <w:style w:type="character" w:customStyle="1" w:styleId="fontstyle01">
    <w:name w:val="fontstyle01"/>
    <w:rsid w:val="00C62FC5"/>
    <w:rPr>
      <w:rFonts w:ascii="ArialNarrow" w:hAnsi="ArialNarrow" w:hint="default"/>
      <w:b w:val="0"/>
      <w:bCs w:val="0"/>
      <w:i w:val="0"/>
      <w:iCs w:val="0"/>
      <w:color w:val="000000"/>
      <w:sz w:val="22"/>
      <w:szCs w:val="22"/>
    </w:rPr>
  </w:style>
  <w:style w:type="character" w:customStyle="1" w:styleId="fontstyle21">
    <w:name w:val="fontstyle21"/>
    <w:rsid w:val="00C62FC5"/>
    <w:rPr>
      <w:rFonts w:ascii="ArialNarrow" w:hAnsi="ArialNarrow" w:hint="default"/>
      <w:b w:val="0"/>
      <w:bCs w:val="0"/>
      <w:i/>
      <w:iCs/>
      <w:color w:val="000000"/>
      <w:sz w:val="22"/>
      <w:szCs w:val="22"/>
    </w:rPr>
  </w:style>
  <w:style w:type="character" w:customStyle="1" w:styleId="text">
    <w:name w:val="text"/>
    <w:rsid w:val="00C258D6"/>
  </w:style>
  <w:style w:type="character" w:customStyle="1" w:styleId="title-text">
    <w:name w:val="title-text"/>
    <w:rsid w:val="00C258D6"/>
  </w:style>
  <w:style w:type="paragraph" w:customStyle="1" w:styleId="references">
    <w:name w:val="references"/>
    <w:rsid w:val="00553E4A"/>
    <w:pPr>
      <w:numPr>
        <w:numId w:val="20"/>
      </w:numPr>
      <w:spacing w:after="50" w:line="180" w:lineRule="exact"/>
      <w:jc w:val="both"/>
    </w:pPr>
    <w:rPr>
      <w:rFonts w:ascii="Times New Roman" w:eastAsia="MS Mincho" w:hAnsi="Times New Roman"/>
      <w:noProof/>
      <w:sz w:val="16"/>
      <w:szCs w:val="16"/>
    </w:rPr>
  </w:style>
</w:styles>
</file>

<file path=word/webSettings.xml><?xml version="1.0" encoding="utf-8"?>
<w:webSettings xmlns:r="http://schemas.openxmlformats.org/officeDocument/2006/relationships" xmlns:w="http://schemas.openxmlformats.org/wordprocessingml/2006/main">
  <w:divs>
    <w:div w:id="374620449">
      <w:bodyDiv w:val="1"/>
      <w:marLeft w:val="0"/>
      <w:marRight w:val="0"/>
      <w:marTop w:val="0"/>
      <w:marBottom w:val="0"/>
      <w:divBdr>
        <w:top w:val="none" w:sz="0" w:space="0" w:color="auto"/>
        <w:left w:val="none" w:sz="0" w:space="0" w:color="auto"/>
        <w:bottom w:val="none" w:sz="0" w:space="0" w:color="auto"/>
        <w:right w:val="none" w:sz="0" w:space="0" w:color="auto"/>
      </w:divBdr>
    </w:div>
    <w:div w:id="585305807">
      <w:bodyDiv w:val="1"/>
      <w:marLeft w:val="0"/>
      <w:marRight w:val="0"/>
      <w:marTop w:val="0"/>
      <w:marBottom w:val="0"/>
      <w:divBdr>
        <w:top w:val="none" w:sz="0" w:space="0" w:color="auto"/>
        <w:left w:val="none" w:sz="0" w:space="0" w:color="auto"/>
        <w:bottom w:val="none" w:sz="0" w:space="0" w:color="auto"/>
        <w:right w:val="none" w:sz="0" w:space="0" w:color="auto"/>
      </w:divBdr>
    </w:div>
    <w:div w:id="691230318">
      <w:bodyDiv w:val="1"/>
      <w:marLeft w:val="0"/>
      <w:marRight w:val="0"/>
      <w:marTop w:val="0"/>
      <w:marBottom w:val="0"/>
      <w:divBdr>
        <w:top w:val="none" w:sz="0" w:space="0" w:color="auto"/>
        <w:left w:val="none" w:sz="0" w:space="0" w:color="auto"/>
        <w:bottom w:val="none" w:sz="0" w:space="0" w:color="auto"/>
        <w:right w:val="none" w:sz="0" w:space="0" w:color="auto"/>
      </w:divBdr>
      <w:divsChild>
        <w:div w:id="807556175">
          <w:marLeft w:val="0"/>
          <w:marRight w:val="0"/>
          <w:marTop w:val="0"/>
          <w:marBottom w:val="0"/>
          <w:divBdr>
            <w:top w:val="none" w:sz="0" w:space="0" w:color="auto"/>
            <w:left w:val="none" w:sz="0" w:space="0" w:color="auto"/>
            <w:bottom w:val="none" w:sz="0" w:space="0" w:color="auto"/>
            <w:right w:val="none" w:sz="0" w:space="0" w:color="auto"/>
          </w:divBdr>
        </w:div>
        <w:div w:id="1902404009">
          <w:marLeft w:val="0"/>
          <w:marRight w:val="0"/>
          <w:marTop w:val="0"/>
          <w:marBottom w:val="0"/>
          <w:divBdr>
            <w:top w:val="none" w:sz="0" w:space="0" w:color="auto"/>
            <w:left w:val="none" w:sz="0" w:space="0" w:color="auto"/>
            <w:bottom w:val="none" w:sz="0" w:space="0" w:color="auto"/>
            <w:right w:val="none" w:sz="0" w:space="0" w:color="auto"/>
          </w:divBdr>
        </w:div>
      </w:divsChild>
    </w:div>
    <w:div w:id="729379959">
      <w:bodyDiv w:val="1"/>
      <w:marLeft w:val="0"/>
      <w:marRight w:val="0"/>
      <w:marTop w:val="0"/>
      <w:marBottom w:val="0"/>
      <w:divBdr>
        <w:top w:val="none" w:sz="0" w:space="0" w:color="auto"/>
        <w:left w:val="none" w:sz="0" w:space="0" w:color="auto"/>
        <w:bottom w:val="none" w:sz="0" w:space="0" w:color="auto"/>
        <w:right w:val="none" w:sz="0" w:space="0" w:color="auto"/>
      </w:divBdr>
    </w:div>
    <w:div w:id="903679669">
      <w:bodyDiv w:val="1"/>
      <w:marLeft w:val="0"/>
      <w:marRight w:val="0"/>
      <w:marTop w:val="0"/>
      <w:marBottom w:val="0"/>
      <w:divBdr>
        <w:top w:val="none" w:sz="0" w:space="0" w:color="auto"/>
        <w:left w:val="none" w:sz="0" w:space="0" w:color="auto"/>
        <w:bottom w:val="none" w:sz="0" w:space="0" w:color="auto"/>
        <w:right w:val="none" w:sz="0" w:space="0" w:color="auto"/>
      </w:divBdr>
    </w:div>
    <w:div w:id="907113697">
      <w:bodyDiv w:val="1"/>
      <w:marLeft w:val="0"/>
      <w:marRight w:val="0"/>
      <w:marTop w:val="0"/>
      <w:marBottom w:val="0"/>
      <w:divBdr>
        <w:top w:val="none" w:sz="0" w:space="0" w:color="auto"/>
        <w:left w:val="none" w:sz="0" w:space="0" w:color="auto"/>
        <w:bottom w:val="none" w:sz="0" w:space="0" w:color="auto"/>
        <w:right w:val="none" w:sz="0" w:space="0" w:color="auto"/>
      </w:divBdr>
      <w:divsChild>
        <w:div w:id="1002050613">
          <w:marLeft w:val="0"/>
          <w:marRight w:val="0"/>
          <w:marTop w:val="100"/>
          <w:marBottom w:val="100"/>
          <w:divBdr>
            <w:top w:val="none" w:sz="0" w:space="0" w:color="auto"/>
            <w:left w:val="none" w:sz="0" w:space="0" w:color="auto"/>
            <w:bottom w:val="none" w:sz="0" w:space="0" w:color="auto"/>
            <w:right w:val="none" w:sz="0" w:space="0" w:color="auto"/>
          </w:divBdr>
          <w:divsChild>
            <w:div w:id="1152481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767152">
      <w:bodyDiv w:val="1"/>
      <w:marLeft w:val="0"/>
      <w:marRight w:val="0"/>
      <w:marTop w:val="0"/>
      <w:marBottom w:val="0"/>
      <w:divBdr>
        <w:top w:val="none" w:sz="0" w:space="0" w:color="auto"/>
        <w:left w:val="none" w:sz="0" w:space="0" w:color="auto"/>
        <w:bottom w:val="none" w:sz="0" w:space="0" w:color="auto"/>
        <w:right w:val="none" w:sz="0" w:space="0" w:color="auto"/>
      </w:divBdr>
    </w:div>
    <w:div w:id="1099175147">
      <w:bodyDiv w:val="1"/>
      <w:marLeft w:val="0"/>
      <w:marRight w:val="0"/>
      <w:marTop w:val="0"/>
      <w:marBottom w:val="0"/>
      <w:divBdr>
        <w:top w:val="none" w:sz="0" w:space="0" w:color="auto"/>
        <w:left w:val="none" w:sz="0" w:space="0" w:color="auto"/>
        <w:bottom w:val="none" w:sz="0" w:space="0" w:color="auto"/>
        <w:right w:val="none" w:sz="0" w:space="0" w:color="auto"/>
      </w:divBdr>
    </w:div>
    <w:div w:id="1228885077">
      <w:bodyDiv w:val="1"/>
      <w:marLeft w:val="0"/>
      <w:marRight w:val="0"/>
      <w:marTop w:val="0"/>
      <w:marBottom w:val="0"/>
      <w:divBdr>
        <w:top w:val="none" w:sz="0" w:space="0" w:color="auto"/>
        <w:left w:val="none" w:sz="0" w:space="0" w:color="auto"/>
        <w:bottom w:val="none" w:sz="0" w:space="0" w:color="auto"/>
        <w:right w:val="none" w:sz="0" w:space="0" w:color="auto"/>
      </w:divBdr>
    </w:div>
    <w:div w:id="1238662916">
      <w:bodyDiv w:val="1"/>
      <w:marLeft w:val="0"/>
      <w:marRight w:val="0"/>
      <w:marTop w:val="0"/>
      <w:marBottom w:val="0"/>
      <w:divBdr>
        <w:top w:val="none" w:sz="0" w:space="0" w:color="auto"/>
        <w:left w:val="none" w:sz="0" w:space="0" w:color="auto"/>
        <w:bottom w:val="none" w:sz="0" w:space="0" w:color="auto"/>
        <w:right w:val="none" w:sz="0" w:space="0" w:color="auto"/>
      </w:divBdr>
    </w:div>
    <w:div w:id="1469661147">
      <w:bodyDiv w:val="1"/>
      <w:marLeft w:val="0"/>
      <w:marRight w:val="0"/>
      <w:marTop w:val="0"/>
      <w:marBottom w:val="0"/>
      <w:divBdr>
        <w:top w:val="none" w:sz="0" w:space="0" w:color="auto"/>
        <w:left w:val="none" w:sz="0" w:space="0" w:color="auto"/>
        <w:bottom w:val="none" w:sz="0" w:space="0" w:color="auto"/>
        <w:right w:val="none" w:sz="0" w:space="0" w:color="auto"/>
      </w:divBdr>
    </w:div>
    <w:div w:id="1693720436">
      <w:bodyDiv w:val="1"/>
      <w:marLeft w:val="0"/>
      <w:marRight w:val="0"/>
      <w:marTop w:val="0"/>
      <w:marBottom w:val="0"/>
      <w:divBdr>
        <w:top w:val="none" w:sz="0" w:space="0" w:color="auto"/>
        <w:left w:val="none" w:sz="0" w:space="0" w:color="auto"/>
        <w:bottom w:val="none" w:sz="0" w:space="0" w:color="auto"/>
        <w:right w:val="none" w:sz="0" w:space="0" w:color="auto"/>
      </w:divBdr>
    </w:div>
    <w:div w:id="1726677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americanaffairsjournal.org/2020/08/the-knowledge-economy-a-critique-of-the-dominant-view/"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doi.org/10.1111/j.1467-9310.2011.00656.x" TargetMode="External"/><Relationship Id="rId14"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H:\SA%20DESKTOPA\AKTUELNO\PHIDAC\Phidac%20%20-%202011\UPUTSTVO%20O%20PISANJU%20RADA\Uputstvo%20Phidac2010%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Uputstvo Phidac2010 template.dot</Template>
  <TotalTime>39</TotalTime>
  <Pages>8</Pages>
  <Words>3256</Words>
  <Characters>18560</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autor</vt:lpstr>
    </vt:vector>
  </TitlesOfParts>
  <Company>Grizli777</Company>
  <LinksUpToDate>false</LinksUpToDate>
  <CharactersWithSpaces>21773</CharactersWithSpaces>
  <SharedDoc>false</SharedDoc>
  <HLinks>
    <vt:vector size="6" baseType="variant">
      <vt:variant>
        <vt:i4>6619235</vt:i4>
      </vt:variant>
      <vt:variant>
        <vt:i4>9</vt:i4>
      </vt:variant>
      <vt:variant>
        <vt:i4>0</vt:i4>
      </vt:variant>
      <vt:variant>
        <vt:i4>5</vt:i4>
      </vt:variant>
      <vt:variant>
        <vt:lpwstr>http://grantland.com/the-triangle/the-tale-of-two-flaccos/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dc:title>
  <dc:subject/>
  <dc:creator>Bojan</dc:creator>
  <cp:keywords/>
  <cp:lastModifiedBy>VTS</cp:lastModifiedBy>
  <cp:revision>16</cp:revision>
  <dcterms:created xsi:type="dcterms:W3CDTF">2021-02-09T17:35:00Z</dcterms:created>
  <dcterms:modified xsi:type="dcterms:W3CDTF">2021-05-27T07:30:00Z</dcterms:modified>
</cp:coreProperties>
</file>